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79590A">
            <w:pPr>
              <w:jc w:val="left"/>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0" w:name="sagsnr"/>
            <w:r w:rsidR="007E4F92">
              <w:rPr>
                <w:rFonts w:ascii="Calibri" w:hAnsi="Calibri" w:cs="Calibri"/>
                <w:bCs/>
                <w:sz w:val="18"/>
                <w:szCs w:val="18"/>
                <w:lang w:eastAsia="da-DK"/>
              </w:rPr>
              <w:t>13-</w:t>
            </w:r>
            <w:proofErr w:type="gramStart"/>
            <w:r w:rsidR="007E4F92">
              <w:rPr>
                <w:rFonts w:ascii="Calibri" w:hAnsi="Calibri" w:cs="Calibri"/>
                <w:bCs/>
                <w:sz w:val="18"/>
                <w:szCs w:val="18"/>
                <w:lang w:eastAsia="da-DK"/>
              </w:rPr>
              <w:t>5966910</w:t>
            </w:r>
            <w:bookmarkEnd w:id="0"/>
            <w:proofErr w:type="gramEnd"/>
          </w:p>
          <w:p w:rsidR="00675483" w:rsidRPr="00204BD9" w:rsidRDefault="00AB73C8" w:rsidP="00675483">
            <w:pPr>
              <w:jc w:val="left"/>
              <w:rPr>
                <w:rFonts w:ascii="Calibri" w:hAnsi="Calibri" w:cs="Calibri"/>
                <w:bCs/>
                <w:sz w:val="18"/>
                <w:szCs w:val="18"/>
                <w:lang w:eastAsia="da-DK"/>
              </w:rPr>
            </w:pPr>
            <w:r>
              <w:rPr>
                <w:rFonts w:ascii="Calibri" w:hAnsi="Calibri" w:cs="Calibri"/>
                <w:bCs/>
                <w:sz w:val="18"/>
                <w:szCs w:val="18"/>
                <w:lang w:eastAsia="da-DK"/>
              </w:rPr>
              <w:t xml:space="preserve">Den </w:t>
            </w:r>
            <w:r w:rsidR="00696E15">
              <w:rPr>
                <w:rFonts w:ascii="Calibri" w:hAnsi="Calibri" w:cs="Calibri"/>
                <w:bCs/>
                <w:sz w:val="18"/>
                <w:szCs w:val="18"/>
                <w:lang w:eastAsia="da-DK"/>
              </w:rPr>
              <w:t>20. december 2013</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p>
        </w:tc>
      </w:tr>
    </w:tbl>
    <w:p w:rsidR="00204BD9" w:rsidRDefault="00204BD9" w:rsidP="009959AA">
      <w:pPr>
        <w:spacing w:line="276" w:lineRule="auto"/>
      </w:pPr>
      <w:r w:rsidRPr="00C428CE">
        <w:t>Til</w:t>
      </w:r>
      <w:r>
        <w:t xml:space="preserve"> </w:t>
      </w:r>
      <w:r w:rsidRPr="00C428CE">
        <w:t xml:space="preserve">Folketinget </w:t>
      </w:r>
      <w:r>
        <w:t>–</w:t>
      </w:r>
      <w:r w:rsidRPr="00C428CE">
        <w:t xml:space="preserve"> Skatteudvalget</w:t>
      </w:r>
    </w:p>
    <w:p w:rsidR="00204BD9" w:rsidRDefault="00204BD9" w:rsidP="009959AA">
      <w:pPr>
        <w:spacing w:line="276" w:lineRule="auto"/>
      </w:pPr>
    </w:p>
    <w:p w:rsidR="006B38B0" w:rsidRPr="002B4CB5" w:rsidRDefault="006B38B0" w:rsidP="009959AA">
      <w:pPr>
        <w:spacing w:line="276" w:lineRule="auto"/>
      </w:pPr>
    </w:p>
    <w:p w:rsidR="000F7B05" w:rsidRPr="00684545" w:rsidRDefault="000F7B05" w:rsidP="009959AA">
      <w:pPr>
        <w:spacing w:line="276" w:lineRule="auto"/>
        <w:rPr>
          <w:b/>
          <w:bCs/>
        </w:rPr>
      </w:pPr>
      <w:r w:rsidRPr="00684545">
        <w:t xml:space="preserve">Til udvalgets orientering </w:t>
      </w:r>
      <w:r>
        <w:t>vedlægges høringsskema samt de modtagne hør</w:t>
      </w:r>
      <w:r w:rsidR="006B38B0">
        <w:t>ing</w:t>
      </w:r>
      <w:r w:rsidR="006B38B0">
        <w:t>s</w:t>
      </w:r>
      <w:r w:rsidR="006B38B0">
        <w:t>svar vedrørende forslag til</w:t>
      </w:r>
      <w:r w:rsidRPr="00684545">
        <w:t xml:space="preserve"> </w:t>
      </w:r>
      <w:r w:rsidR="007E4F92">
        <w:t>lov om ændring af ligningsloven, momsloven og forskellige andre love (Fremrykning af skatte- og afgiftslempelser og forhøjelse af beskæftigelsesfradrag</w:t>
      </w:r>
      <w:r w:rsidR="005E44B4">
        <w:t xml:space="preserve"> m.v.</w:t>
      </w:r>
      <w:r w:rsidR="007E4F92">
        <w:t>)</w:t>
      </w:r>
      <w:r>
        <w:t>.</w:t>
      </w:r>
    </w:p>
    <w:p w:rsidR="00204BD9" w:rsidRDefault="00204BD9" w:rsidP="009959AA">
      <w:pPr>
        <w:spacing w:line="276" w:lineRule="auto"/>
      </w:pPr>
    </w:p>
    <w:p w:rsidR="007028CC" w:rsidRDefault="007028CC" w:rsidP="009959AA">
      <w:pPr>
        <w:spacing w:line="276" w:lineRule="auto"/>
      </w:pPr>
    </w:p>
    <w:p w:rsidR="007028CC" w:rsidRDefault="007028CC" w:rsidP="009959AA">
      <w:pPr>
        <w:spacing w:line="276" w:lineRule="auto"/>
      </w:pPr>
    </w:p>
    <w:p w:rsidR="007028CC" w:rsidRDefault="007028CC" w:rsidP="009959AA">
      <w:pPr>
        <w:spacing w:line="276" w:lineRule="auto"/>
      </w:pPr>
    </w:p>
    <w:p w:rsidR="00204BD9" w:rsidRPr="00C428CE" w:rsidRDefault="00204BD9" w:rsidP="009959AA">
      <w:pPr>
        <w:spacing w:line="276" w:lineRule="auto"/>
      </w:pPr>
    </w:p>
    <w:p w:rsidR="009959AA" w:rsidRDefault="00204BD9" w:rsidP="009959AA">
      <w:pPr>
        <w:tabs>
          <w:tab w:val="right" w:pos="2835"/>
          <w:tab w:val="left" w:pos="3686"/>
          <w:tab w:val="left" w:pos="3969"/>
        </w:tabs>
        <w:spacing w:line="276" w:lineRule="auto"/>
        <w:jc w:val="left"/>
      </w:pPr>
      <w:r>
        <w:tab/>
      </w:r>
      <w:r w:rsidR="00F92576">
        <w:t>Jonas Dahl</w:t>
      </w:r>
    </w:p>
    <w:p w:rsidR="009959AA" w:rsidRDefault="009959AA" w:rsidP="009959AA">
      <w:pPr>
        <w:tabs>
          <w:tab w:val="right" w:pos="2835"/>
          <w:tab w:val="left" w:pos="3686"/>
          <w:tab w:val="left" w:pos="3969"/>
        </w:tabs>
        <w:spacing w:line="276" w:lineRule="auto"/>
        <w:jc w:val="left"/>
      </w:pPr>
    </w:p>
    <w:p w:rsidR="009959AA" w:rsidRDefault="009959AA" w:rsidP="009959AA">
      <w:pPr>
        <w:tabs>
          <w:tab w:val="right" w:pos="2835"/>
          <w:tab w:val="left" w:pos="3686"/>
          <w:tab w:val="left" w:pos="4536"/>
        </w:tabs>
        <w:spacing w:line="276" w:lineRule="auto"/>
        <w:jc w:val="left"/>
      </w:pPr>
      <w:r>
        <w:tab/>
      </w:r>
      <w:r>
        <w:tab/>
        <w:t>/</w:t>
      </w:r>
    </w:p>
    <w:p w:rsidR="009959AA" w:rsidRDefault="009959AA" w:rsidP="009959AA">
      <w:pPr>
        <w:spacing w:line="276" w:lineRule="auto"/>
      </w:pPr>
    </w:p>
    <w:p w:rsidR="009959AA" w:rsidRDefault="009959AA" w:rsidP="009959AA">
      <w:pPr>
        <w:tabs>
          <w:tab w:val="right" w:pos="2835"/>
          <w:tab w:val="left" w:pos="3686"/>
          <w:tab w:val="left" w:pos="4536"/>
        </w:tabs>
        <w:spacing w:line="276" w:lineRule="auto"/>
        <w:jc w:val="left"/>
      </w:pPr>
      <w:r>
        <w:tab/>
      </w:r>
      <w:r>
        <w:tab/>
      </w:r>
      <w:r>
        <w:tab/>
      </w:r>
      <w:r w:rsidR="00BB44BC">
        <w:t>Lise Bo Nielsen</w:t>
      </w:r>
    </w:p>
    <w:p w:rsidR="000E614B" w:rsidRDefault="000E614B" w:rsidP="009959AA">
      <w:pPr>
        <w:tabs>
          <w:tab w:val="right" w:pos="3402"/>
          <w:tab w:val="left" w:pos="3686"/>
          <w:tab w:val="left" w:pos="3969"/>
        </w:tabs>
        <w:spacing w:line="276" w:lineRule="auto"/>
        <w:jc w:val="left"/>
        <w:rPr>
          <w:lang w:eastAsia="da-DK"/>
        </w:rPr>
      </w:pPr>
    </w:p>
    <w:p w:rsidR="006E1C89" w:rsidRDefault="006E1C89" w:rsidP="009959AA">
      <w:pPr>
        <w:spacing w:line="276" w:lineRule="auto"/>
        <w:jc w:val="left"/>
        <w:rPr>
          <w:lang w:eastAsia="da-DK"/>
        </w:rPr>
      </w:pPr>
      <w:r>
        <w:rPr>
          <w:lang w:eastAsia="da-DK"/>
        </w:rPr>
        <w:br w:type="page"/>
      </w:r>
    </w:p>
    <w:p w:rsidR="007D1FCB" w:rsidRDefault="006E1C89" w:rsidP="006E1C89">
      <w:pPr>
        <w:pStyle w:val="Overskrift1"/>
      </w:pPr>
      <w:r>
        <w:t>Hørings</w:t>
      </w:r>
      <w:r w:rsidR="00516D8C">
        <w:t>s</w:t>
      </w:r>
      <w:r>
        <w:t>kema</w:t>
      </w:r>
    </w:p>
    <w:p w:rsidR="00047FE5" w:rsidRPr="00047FE5" w:rsidRDefault="00047FE5" w:rsidP="00047FE5">
      <w:pPr>
        <w:rPr>
          <w:lang w:eastAsia="da-DK"/>
        </w:rPr>
      </w:pPr>
    </w:p>
    <w:p w:rsidR="006E1C89" w:rsidRDefault="006E1C89" w:rsidP="006E1C89">
      <w:pPr>
        <w:rPr>
          <w:lang w:eastAsia="da-DK"/>
        </w:rPr>
      </w:pPr>
    </w:p>
    <w:tbl>
      <w:tblPr>
        <w:tblStyle w:val="Tabel-Gitter"/>
        <w:tblW w:w="6482" w:type="pct"/>
        <w:tblInd w:w="108" w:type="dxa"/>
        <w:tblBorders>
          <w:top w:val="single" w:sz="4" w:space="0" w:color="57788E" w:themeColor="accent2"/>
          <w:left w:val="single" w:sz="4" w:space="0" w:color="57788E" w:themeColor="accent2"/>
          <w:bottom w:val="single" w:sz="4" w:space="0" w:color="57788E" w:themeColor="accent2"/>
          <w:right w:val="single" w:sz="4" w:space="0" w:color="57788E" w:themeColor="accent2"/>
          <w:insideH w:val="single" w:sz="4" w:space="0" w:color="57788E" w:themeColor="accent2"/>
          <w:insideV w:val="single" w:sz="4" w:space="0" w:color="57788E" w:themeColor="accent2"/>
        </w:tblBorders>
        <w:tblLook w:val="04A0" w:firstRow="1" w:lastRow="0" w:firstColumn="1" w:lastColumn="0" w:noHBand="0" w:noVBand="1"/>
      </w:tblPr>
      <w:tblGrid>
        <w:gridCol w:w="2836"/>
        <w:gridCol w:w="3459"/>
        <w:gridCol w:w="3466"/>
      </w:tblGrid>
      <w:tr w:rsidR="00E27A40" w:rsidRPr="00C14813" w:rsidTr="003F5DD2">
        <w:trPr>
          <w:trHeight w:hRule="exact" w:val="372"/>
        </w:trPr>
        <w:tc>
          <w:tcPr>
            <w:tcW w:w="2836" w:type="dxa"/>
            <w:shd w:val="clear" w:color="auto" w:fill="57788E" w:themeFill="accent2"/>
            <w:vAlign w:val="center"/>
          </w:tcPr>
          <w:p w:rsidR="00D97706" w:rsidRPr="0051644C" w:rsidRDefault="00D97706" w:rsidP="0051644C">
            <w:pPr>
              <w:spacing w:after="60"/>
              <w:jc w:val="left"/>
              <w:rPr>
                <w:rFonts w:ascii="Calibri" w:hAnsi="Calibri" w:cs="Calibri"/>
                <w:b/>
                <w:color w:val="FFFFFF"/>
                <w:sz w:val="22"/>
              </w:rPr>
            </w:pPr>
            <w:r w:rsidRPr="0051644C">
              <w:rPr>
                <w:rFonts w:ascii="Calibri" w:hAnsi="Calibri" w:cs="Calibri"/>
                <w:b/>
                <w:color w:val="FFFFFF"/>
                <w:sz w:val="22"/>
              </w:rPr>
              <w:t>Organisation</w:t>
            </w:r>
          </w:p>
        </w:tc>
        <w:tc>
          <w:tcPr>
            <w:tcW w:w="3459" w:type="dxa"/>
            <w:shd w:val="clear" w:color="auto" w:fill="57788E" w:themeFill="accent2"/>
            <w:vAlign w:val="center"/>
          </w:tcPr>
          <w:p w:rsidR="00D97706" w:rsidRDefault="00D97706" w:rsidP="0051644C">
            <w:pPr>
              <w:spacing w:after="60"/>
              <w:jc w:val="left"/>
              <w:rPr>
                <w:rFonts w:ascii="Calibri" w:hAnsi="Calibri" w:cs="Calibri"/>
                <w:b/>
                <w:color w:val="FFFFFF"/>
                <w:sz w:val="22"/>
              </w:rPr>
            </w:pPr>
            <w:r>
              <w:rPr>
                <w:rFonts w:ascii="Calibri" w:hAnsi="Calibri" w:cs="Calibri"/>
                <w:b/>
                <w:color w:val="FFFFFF"/>
                <w:sz w:val="22"/>
              </w:rPr>
              <w:t>Bemærkninger</w:t>
            </w:r>
          </w:p>
          <w:p w:rsidR="00D97706" w:rsidRPr="00C14813" w:rsidRDefault="00273DB5" w:rsidP="0051644C">
            <w:pPr>
              <w:spacing w:after="60"/>
              <w:jc w:val="left"/>
              <w:rPr>
                <w:rFonts w:ascii="Calibri" w:hAnsi="Calibri" w:cs="Calibri"/>
                <w:b/>
                <w:color w:val="FFFFFF"/>
                <w:sz w:val="22"/>
              </w:rPr>
            </w:pPr>
            <w:r>
              <w:rPr>
                <w:rFonts w:ascii="Calibri" w:hAnsi="Calibri" w:cs="Calibri"/>
                <w:b/>
                <w:color w:val="FFFFFF"/>
                <w:sz w:val="22"/>
              </w:rPr>
              <w:t>DTL</w:t>
            </w:r>
          </w:p>
        </w:tc>
        <w:tc>
          <w:tcPr>
            <w:tcW w:w="3466" w:type="dxa"/>
            <w:shd w:val="clear" w:color="auto" w:fill="57788E" w:themeFill="accent2"/>
            <w:vAlign w:val="center"/>
          </w:tcPr>
          <w:p w:rsidR="00D97706" w:rsidRDefault="00D97706" w:rsidP="0051644C">
            <w:pPr>
              <w:spacing w:after="60"/>
              <w:jc w:val="left"/>
              <w:rPr>
                <w:rFonts w:ascii="Calibri" w:hAnsi="Calibri" w:cs="Calibri"/>
                <w:b/>
                <w:color w:val="FFFFFF"/>
                <w:sz w:val="22"/>
              </w:rPr>
            </w:pPr>
            <w:r>
              <w:rPr>
                <w:rFonts w:ascii="Calibri" w:hAnsi="Calibri" w:cs="Calibri"/>
                <w:b/>
                <w:color w:val="FFFFFF"/>
                <w:sz w:val="22"/>
              </w:rPr>
              <w:t>Kommentarer</w:t>
            </w:r>
          </w:p>
        </w:tc>
      </w:tr>
      <w:tr w:rsidR="00A83ECE" w:rsidRPr="0051644C" w:rsidTr="003F5DD2">
        <w:trPr>
          <w:trHeight w:val="360"/>
        </w:trPr>
        <w:tc>
          <w:tcPr>
            <w:tcW w:w="2836" w:type="dxa"/>
          </w:tcPr>
          <w:p w:rsidR="00A83ECE" w:rsidRDefault="00F0126F" w:rsidP="005E44B4">
            <w:pPr>
              <w:spacing w:after="60"/>
              <w:jc w:val="left"/>
              <w:rPr>
                <w:rFonts w:asciiTheme="minorHAnsi" w:hAnsiTheme="minorHAnsi" w:cs="Calibri"/>
                <w:b/>
                <w:szCs w:val="24"/>
              </w:rPr>
            </w:pPr>
            <w:r>
              <w:rPr>
                <w:rFonts w:asciiTheme="minorHAnsi" w:hAnsiTheme="minorHAnsi" w:cs="Calibri"/>
                <w:b/>
                <w:szCs w:val="24"/>
              </w:rPr>
              <w:t>Advokatrådet</w:t>
            </w:r>
          </w:p>
        </w:tc>
        <w:tc>
          <w:tcPr>
            <w:tcW w:w="3459" w:type="dxa"/>
          </w:tcPr>
          <w:p w:rsidR="00A83ECE" w:rsidRPr="00FC1DC0" w:rsidRDefault="00FC1DC0" w:rsidP="00C32CD7">
            <w:pPr>
              <w:spacing w:after="60"/>
              <w:jc w:val="left"/>
              <w:rPr>
                <w:rFonts w:cs="Calibri"/>
                <w:szCs w:val="24"/>
              </w:rPr>
            </w:pPr>
            <w:r w:rsidRPr="00FC1DC0">
              <w:rPr>
                <w:rFonts w:cs="Times New Roman"/>
                <w:color w:val="000000"/>
                <w:szCs w:val="24"/>
              </w:rPr>
              <w:t>Det er Advokatrådets opfattelse, at Skatteministeriet så vidt muligt bør ændre forskudsopgørelserne af egen drift for 2014, således at ændringerne ikke først får effekt ved årsopgørelsen for 2014 i 2015, men vil få virkning for det løbe</w:t>
            </w:r>
            <w:r w:rsidRPr="00FC1DC0">
              <w:rPr>
                <w:rFonts w:cs="Times New Roman"/>
                <w:color w:val="000000"/>
                <w:szCs w:val="24"/>
              </w:rPr>
              <w:t>n</w:t>
            </w:r>
            <w:r w:rsidRPr="00FC1DC0">
              <w:rPr>
                <w:rFonts w:cs="Times New Roman"/>
                <w:color w:val="000000"/>
                <w:szCs w:val="24"/>
              </w:rPr>
              <w:t>de indkomstår.</w:t>
            </w:r>
          </w:p>
        </w:tc>
        <w:tc>
          <w:tcPr>
            <w:tcW w:w="3466" w:type="dxa"/>
          </w:tcPr>
          <w:p w:rsidR="00A83ECE" w:rsidRPr="0051644C" w:rsidRDefault="00883B9F" w:rsidP="005E44B4">
            <w:pPr>
              <w:spacing w:after="60"/>
              <w:jc w:val="left"/>
              <w:rPr>
                <w:rFonts w:asciiTheme="minorHAnsi" w:hAnsiTheme="minorHAnsi" w:cs="Calibri"/>
                <w:szCs w:val="24"/>
              </w:rPr>
            </w:pPr>
            <w:r>
              <w:rPr>
                <w:rFonts w:asciiTheme="minorHAnsi" w:hAnsiTheme="minorHAnsi" w:cs="Calibri"/>
                <w:szCs w:val="24"/>
              </w:rPr>
              <w:t>Der henvises til kommentaren til høringssvaret fra FTF.</w:t>
            </w: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Bryggeriforeningen</w:t>
            </w:r>
          </w:p>
        </w:tc>
        <w:tc>
          <w:tcPr>
            <w:tcW w:w="3459" w:type="dxa"/>
          </w:tcPr>
          <w:p w:rsidR="003F5DD2" w:rsidRDefault="003F5DD2" w:rsidP="00584E28">
            <w:pPr>
              <w:jc w:val="left"/>
              <w:rPr>
                <w:rFonts w:asciiTheme="minorHAnsi" w:hAnsiTheme="minorHAnsi" w:cs="Calibri"/>
                <w:szCs w:val="24"/>
              </w:rPr>
            </w:pPr>
            <w:r>
              <w:rPr>
                <w:rFonts w:asciiTheme="minorHAnsi" w:hAnsiTheme="minorHAnsi" w:cs="Calibri"/>
                <w:szCs w:val="24"/>
              </w:rPr>
              <w:t>Finder det meget positivt, at der sker en fremrykning af de aftalte lempelser.</w:t>
            </w:r>
          </w:p>
          <w:p w:rsidR="00584E28" w:rsidRDefault="00584E28" w:rsidP="00584E28">
            <w:pPr>
              <w:jc w:val="left"/>
              <w:rPr>
                <w:rFonts w:asciiTheme="minorHAnsi" w:hAnsiTheme="minorHAnsi" w:cs="Calibri"/>
                <w:szCs w:val="24"/>
              </w:rPr>
            </w:pPr>
          </w:p>
          <w:p w:rsidR="003F5DD2" w:rsidRDefault="003F5DD2" w:rsidP="00584E28">
            <w:pPr>
              <w:jc w:val="left"/>
              <w:rPr>
                <w:rFonts w:asciiTheme="minorHAnsi" w:hAnsiTheme="minorHAnsi" w:cs="Calibri"/>
                <w:szCs w:val="24"/>
              </w:rPr>
            </w:pPr>
            <w:r>
              <w:rPr>
                <w:rFonts w:asciiTheme="minorHAnsi" w:hAnsiTheme="minorHAnsi" w:cs="Calibri"/>
                <w:szCs w:val="24"/>
              </w:rPr>
              <w:t>Bryggeriforeningen finder, at der er behov for at indføre en godtg</w:t>
            </w:r>
            <w:r>
              <w:rPr>
                <w:rFonts w:asciiTheme="minorHAnsi" w:hAnsiTheme="minorHAnsi" w:cs="Calibri"/>
                <w:szCs w:val="24"/>
              </w:rPr>
              <w:t>ø</w:t>
            </w:r>
            <w:r>
              <w:rPr>
                <w:rFonts w:asciiTheme="minorHAnsi" w:hAnsiTheme="minorHAnsi" w:cs="Calibri"/>
                <w:szCs w:val="24"/>
              </w:rPr>
              <w:t>relsesordning i forbindelse med afskaffelse af den vægtbaserede emballageafgift.</w:t>
            </w:r>
            <w:r w:rsidR="00584E28">
              <w:rPr>
                <w:rFonts w:asciiTheme="minorHAnsi" w:hAnsiTheme="minorHAnsi" w:cs="Calibri"/>
                <w:szCs w:val="24"/>
              </w:rPr>
              <w:t xml:space="preserve"> </w:t>
            </w:r>
            <w:r>
              <w:rPr>
                <w:rFonts w:asciiTheme="minorHAnsi" w:hAnsiTheme="minorHAnsi" w:cs="Calibri"/>
                <w:szCs w:val="24"/>
              </w:rPr>
              <w:t>Bryggeriforeni</w:t>
            </w:r>
            <w:r>
              <w:rPr>
                <w:rFonts w:asciiTheme="minorHAnsi" w:hAnsiTheme="minorHAnsi" w:cs="Calibri"/>
                <w:szCs w:val="24"/>
              </w:rPr>
              <w:t>n</w:t>
            </w:r>
            <w:r>
              <w:rPr>
                <w:rFonts w:asciiTheme="minorHAnsi" w:hAnsiTheme="minorHAnsi" w:cs="Calibri"/>
                <w:szCs w:val="24"/>
              </w:rPr>
              <w:t>gen henviser til besvarelse af spørgsmål 1, L217 (</w:t>
            </w:r>
            <w:r w:rsidRPr="00485B57">
              <w:rPr>
                <w:rFonts w:asciiTheme="minorHAnsi" w:hAnsiTheme="minorHAnsi" w:cs="Calibri"/>
                <w:i/>
                <w:szCs w:val="24"/>
              </w:rPr>
              <w:t>Vækstplan DK</w:t>
            </w:r>
            <w:r>
              <w:rPr>
                <w:rFonts w:asciiTheme="minorHAnsi" w:hAnsiTheme="minorHAnsi" w:cs="Calibri"/>
                <w:szCs w:val="24"/>
              </w:rPr>
              <w:t>), hvoraf det fremgår, at en godtgørelsesordning er normal, hvis virksomhederne ikke kan nå at indrette sig efter afgiftsnedsæ</w:t>
            </w:r>
            <w:r>
              <w:rPr>
                <w:rFonts w:asciiTheme="minorHAnsi" w:hAnsiTheme="minorHAnsi" w:cs="Calibri"/>
                <w:szCs w:val="24"/>
              </w:rPr>
              <w:t>t</w:t>
            </w:r>
            <w:r>
              <w:rPr>
                <w:rFonts w:asciiTheme="minorHAnsi" w:hAnsiTheme="minorHAnsi" w:cs="Calibri"/>
                <w:szCs w:val="24"/>
              </w:rPr>
              <w:t xml:space="preserve">telsen. </w:t>
            </w:r>
          </w:p>
        </w:tc>
        <w:tc>
          <w:tcPr>
            <w:tcW w:w="3466" w:type="dxa"/>
          </w:tcPr>
          <w:p w:rsidR="003F5DD2" w:rsidRDefault="003F5DD2" w:rsidP="00584E28">
            <w:pPr>
              <w:jc w:val="left"/>
              <w:rPr>
                <w:rFonts w:asciiTheme="minorHAnsi" w:hAnsiTheme="minorHAnsi" w:cs="Calibri"/>
                <w:szCs w:val="24"/>
              </w:rPr>
            </w:pPr>
            <w:r>
              <w:rPr>
                <w:rFonts w:asciiTheme="minorHAnsi" w:hAnsiTheme="minorHAnsi" w:cs="Calibri"/>
                <w:szCs w:val="24"/>
              </w:rPr>
              <w:t>I lovforslaget, der har været sendt i høring, foreslås, at virksomheder, der er registreret efter emballag</w:t>
            </w:r>
            <w:r>
              <w:rPr>
                <w:rFonts w:asciiTheme="minorHAnsi" w:hAnsiTheme="minorHAnsi" w:cs="Calibri"/>
                <w:szCs w:val="24"/>
              </w:rPr>
              <w:t>e</w:t>
            </w:r>
            <w:r>
              <w:rPr>
                <w:rFonts w:asciiTheme="minorHAnsi" w:hAnsiTheme="minorHAnsi" w:cs="Calibri"/>
                <w:szCs w:val="24"/>
              </w:rPr>
              <w:t>afgiftsloven</w:t>
            </w:r>
            <w:r w:rsidR="00A92320">
              <w:rPr>
                <w:rFonts w:asciiTheme="minorHAnsi" w:hAnsiTheme="minorHAnsi" w:cs="Calibri"/>
                <w:szCs w:val="24"/>
              </w:rPr>
              <w:t>,</w:t>
            </w:r>
            <w:r>
              <w:rPr>
                <w:rFonts w:asciiTheme="minorHAnsi" w:hAnsiTheme="minorHAnsi" w:cs="Calibri"/>
                <w:szCs w:val="24"/>
              </w:rPr>
              <w:t xml:space="preserve"> fritages fra emball</w:t>
            </w:r>
            <w:r>
              <w:rPr>
                <w:rFonts w:asciiTheme="minorHAnsi" w:hAnsiTheme="minorHAnsi" w:cs="Calibri"/>
                <w:szCs w:val="24"/>
              </w:rPr>
              <w:t>a</w:t>
            </w:r>
            <w:r>
              <w:rPr>
                <w:rFonts w:asciiTheme="minorHAnsi" w:hAnsiTheme="minorHAnsi" w:cs="Calibri"/>
                <w:szCs w:val="24"/>
              </w:rPr>
              <w:t xml:space="preserve">geafgift pr. 1. januar 2014. Dvs. </w:t>
            </w:r>
            <w:r w:rsidRPr="00CC5949">
              <w:rPr>
                <w:rFonts w:asciiTheme="minorHAnsi" w:hAnsiTheme="minorHAnsi" w:cs="Calibri"/>
                <w:szCs w:val="24"/>
              </w:rPr>
              <w:t>virksomheder der fremstiller e</w:t>
            </w:r>
            <w:r w:rsidRPr="00CC5949">
              <w:rPr>
                <w:rFonts w:asciiTheme="minorHAnsi" w:hAnsiTheme="minorHAnsi" w:cs="Calibri"/>
                <w:szCs w:val="24"/>
              </w:rPr>
              <w:t>m</w:t>
            </w:r>
            <w:r w:rsidRPr="00CC5949">
              <w:rPr>
                <w:rFonts w:asciiTheme="minorHAnsi" w:hAnsiTheme="minorHAnsi" w:cs="Calibri"/>
                <w:szCs w:val="24"/>
              </w:rPr>
              <w:t>ballager til de omfattede varegru</w:t>
            </w:r>
            <w:r w:rsidRPr="00CC5949">
              <w:rPr>
                <w:rFonts w:asciiTheme="minorHAnsi" w:hAnsiTheme="minorHAnsi" w:cs="Calibri"/>
                <w:szCs w:val="24"/>
              </w:rPr>
              <w:t>p</w:t>
            </w:r>
            <w:r w:rsidRPr="00CC5949">
              <w:rPr>
                <w:rFonts w:asciiTheme="minorHAnsi" w:hAnsiTheme="minorHAnsi" w:cs="Calibri"/>
                <w:szCs w:val="24"/>
              </w:rPr>
              <w:t xml:space="preserve">per, </w:t>
            </w:r>
            <w:r>
              <w:rPr>
                <w:rFonts w:asciiTheme="minorHAnsi" w:hAnsiTheme="minorHAnsi" w:cs="Calibri"/>
                <w:szCs w:val="24"/>
              </w:rPr>
              <w:t xml:space="preserve">samt </w:t>
            </w:r>
            <w:r w:rsidR="00A92320">
              <w:rPr>
                <w:rFonts w:asciiTheme="minorHAnsi" w:hAnsiTheme="minorHAnsi" w:cs="Calibri"/>
                <w:szCs w:val="24"/>
              </w:rPr>
              <w:t>virksomheder</w:t>
            </w:r>
            <w:r w:rsidRPr="00CC5949">
              <w:rPr>
                <w:rFonts w:asciiTheme="minorHAnsi" w:hAnsiTheme="minorHAnsi" w:cs="Calibri"/>
                <w:szCs w:val="24"/>
              </w:rPr>
              <w:t xml:space="preserve"> der i</w:t>
            </w:r>
            <w:r w:rsidRPr="00CC5949">
              <w:rPr>
                <w:rFonts w:asciiTheme="minorHAnsi" w:hAnsiTheme="minorHAnsi" w:cs="Calibri"/>
                <w:szCs w:val="24"/>
              </w:rPr>
              <w:t>m</w:t>
            </w:r>
            <w:r w:rsidRPr="00CC5949">
              <w:rPr>
                <w:rFonts w:asciiTheme="minorHAnsi" w:hAnsiTheme="minorHAnsi" w:cs="Calibri"/>
                <w:szCs w:val="24"/>
              </w:rPr>
              <w:t>porterer emballager, som indeho</w:t>
            </w:r>
            <w:r w:rsidRPr="00CC5949">
              <w:rPr>
                <w:rFonts w:asciiTheme="minorHAnsi" w:hAnsiTheme="minorHAnsi" w:cs="Calibri"/>
                <w:szCs w:val="24"/>
              </w:rPr>
              <w:t>l</w:t>
            </w:r>
            <w:r w:rsidRPr="00CC5949">
              <w:rPr>
                <w:rFonts w:asciiTheme="minorHAnsi" w:hAnsiTheme="minorHAnsi" w:cs="Calibri"/>
                <w:szCs w:val="24"/>
              </w:rPr>
              <w:t>der de pågældende var</w:t>
            </w:r>
            <w:r>
              <w:rPr>
                <w:rFonts w:asciiTheme="minorHAnsi" w:hAnsiTheme="minorHAnsi" w:cs="Calibri"/>
                <w:szCs w:val="24"/>
              </w:rPr>
              <w:t xml:space="preserve">er. </w:t>
            </w:r>
          </w:p>
          <w:p w:rsidR="003F5DD2" w:rsidRDefault="003F5DD2" w:rsidP="00584E28">
            <w:pPr>
              <w:jc w:val="left"/>
              <w:rPr>
                <w:rFonts w:asciiTheme="minorHAnsi" w:hAnsiTheme="minorHAnsi" w:cs="Calibri"/>
                <w:szCs w:val="24"/>
              </w:rPr>
            </w:pPr>
          </w:p>
          <w:p w:rsidR="003F5DD2" w:rsidRPr="0051644C" w:rsidRDefault="003F5DD2" w:rsidP="00584E28">
            <w:pPr>
              <w:jc w:val="left"/>
              <w:rPr>
                <w:rFonts w:asciiTheme="minorHAnsi" w:hAnsiTheme="minorHAnsi" w:cs="Calibri"/>
                <w:szCs w:val="24"/>
              </w:rPr>
            </w:pPr>
            <w:r>
              <w:rPr>
                <w:rFonts w:asciiTheme="minorHAnsi" w:hAnsiTheme="minorHAnsi" w:cs="Calibri"/>
                <w:szCs w:val="24"/>
              </w:rPr>
              <w:t>Der foreslås ikke nogen godtgøre</w:t>
            </w:r>
            <w:r>
              <w:rPr>
                <w:rFonts w:asciiTheme="minorHAnsi" w:hAnsiTheme="minorHAnsi" w:cs="Calibri"/>
                <w:szCs w:val="24"/>
              </w:rPr>
              <w:t>l</w:t>
            </w:r>
            <w:r>
              <w:rPr>
                <w:rFonts w:asciiTheme="minorHAnsi" w:hAnsiTheme="minorHAnsi" w:cs="Calibri"/>
                <w:szCs w:val="24"/>
              </w:rPr>
              <w:t>sesordning for ikke-registrerede virksomheder, dvs. detailhandlen, idet dette ikke er en del af finan</w:t>
            </w:r>
            <w:r>
              <w:rPr>
                <w:rFonts w:asciiTheme="minorHAnsi" w:hAnsiTheme="minorHAnsi" w:cs="Calibri"/>
                <w:szCs w:val="24"/>
              </w:rPr>
              <w:t>s</w:t>
            </w:r>
            <w:r>
              <w:rPr>
                <w:rFonts w:asciiTheme="minorHAnsi" w:hAnsiTheme="minorHAnsi" w:cs="Calibri"/>
                <w:szCs w:val="24"/>
              </w:rPr>
              <w:t>lovaftalen.</w:t>
            </w: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Aktionærforening</w:t>
            </w:r>
          </w:p>
        </w:tc>
        <w:tc>
          <w:tcPr>
            <w:tcW w:w="3459" w:type="dxa"/>
          </w:tcPr>
          <w:p w:rsidR="003F5DD2" w:rsidRDefault="003F5DD2" w:rsidP="00584E28">
            <w:pPr>
              <w:jc w:val="left"/>
              <w:rPr>
                <w:rFonts w:asciiTheme="minorHAnsi" w:hAnsiTheme="minorHAnsi" w:cs="Calibri"/>
                <w:szCs w:val="24"/>
              </w:rPr>
            </w:pPr>
            <w:r>
              <w:rPr>
                <w:rFonts w:asciiTheme="minorHAnsi" w:hAnsiTheme="minorHAnsi" w:cs="Calibri"/>
                <w:szCs w:val="24"/>
              </w:rPr>
              <w:t>Ingen bemærkninger.</w:t>
            </w:r>
          </w:p>
        </w:tc>
        <w:tc>
          <w:tcPr>
            <w:tcW w:w="3466" w:type="dxa"/>
          </w:tcPr>
          <w:p w:rsidR="003F5DD2" w:rsidRPr="0051644C" w:rsidRDefault="003F5DD2" w:rsidP="00584E28">
            <w:pPr>
              <w:jc w:val="left"/>
              <w:rPr>
                <w:rFonts w:asciiTheme="minorHAnsi" w:hAnsiTheme="minorHAnsi" w:cs="Calibri"/>
                <w:szCs w:val="24"/>
              </w:rPr>
            </w:pP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Byggeri</w:t>
            </w:r>
          </w:p>
        </w:tc>
        <w:tc>
          <w:tcPr>
            <w:tcW w:w="3459" w:type="dxa"/>
          </w:tcPr>
          <w:p w:rsidR="003F5DD2" w:rsidRDefault="003F5DD2" w:rsidP="00584E28">
            <w:pPr>
              <w:jc w:val="left"/>
              <w:rPr>
                <w:rFonts w:asciiTheme="minorHAnsi" w:hAnsiTheme="minorHAnsi" w:cs="Calibri"/>
                <w:szCs w:val="24"/>
              </w:rPr>
            </w:pPr>
            <w:r>
              <w:rPr>
                <w:rFonts w:asciiTheme="minorHAnsi" w:hAnsiTheme="minorHAnsi" w:cs="Calibri"/>
                <w:szCs w:val="24"/>
              </w:rPr>
              <w:t>Bakker fuldt ud op om fremry</w:t>
            </w:r>
            <w:r>
              <w:rPr>
                <w:rFonts w:asciiTheme="minorHAnsi" w:hAnsiTheme="minorHAnsi" w:cs="Calibri"/>
                <w:szCs w:val="24"/>
              </w:rPr>
              <w:t>k</w:t>
            </w:r>
            <w:r>
              <w:rPr>
                <w:rFonts w:asciiTheme="minorHAnsi" w:hAnsiTheme="minorHAnsi" w:cs="Calibri"/>
                <w:szCs w:val="24"/>
              </w:rPr>
              <w:t>ningen af personskattelettelser fra Skattereform 2012 og virkso</w:t>
            </w:r>
            <w:r>
              <w:rPr>
                <w:rFonts w:asciiTheme="minorHAnsi" w:hAnsiTheme="minorHAnsi" w:cs="Calibri"/>
                <w:szCs w:val="24"/>
              </w:rPr>
              <w:t>m</w:t>
            </w:r>
            <w:r>
              <w:rPr>
                <w:rFonts w:asciiTheme="minorHAnsi" w:hAnsiTheme="minorHAnsi" w:cs="Calibri"/>
                <w:szCs w:val="24"/>
              </w:rPr>
              <w:t xml:space="preserve">hedsskatte- og -afgiftslettelser fra forårets vækstpakker, der begge er en del af finanslovaftalen for 2014. </w:t>
            </w:r>
          </w:p>
        </w:tc>
        <w:tc>
          <w:tcPr>
            <w:tcW w:w="3466" w:type="dxa"/>
          </w:tcPr>
          <w:p w:rsidR="003F5DD2" w:rsidRPr="0051644C" w:rsidRDefault="003F5DD2" w:rsidP="00584E28">
            <w:pPr>
              <w:jc w:val="left"/>
              <w:rPr>
                <w:rFonts w:asciiTheme="minorHAnsi" w:hAnsiTheme="minorHAnsi" w:cs="Calibri"/>
                <w:szCs w:val="24"/>
              </w:rPr>
            </w:pP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Energi</w:t>
            </w:r>
          </w:p>
        </w:tc>
        <w:tc>
          <w:tcPr>
            <w:tcW w:w="3459" w:type="dxa"/>
          </w:tcPr>
          <w:p w:rsidR="003F5DD2" w:rsidRPr="00116198" w:rsidRDefault="003F5DD2" w:rsidP="00584E28">
            <w:pPr>
              <w:pStyle w:val="Default"/>
              <w:rPr>
                <w:rFonts w:asciiTheme="minorHAnsi" w:hAnsiTheme="minorHAnsi" w:cs="Calibri"/>
              </w:rPr>
            </w:pPr>
            <w:r>
              <w:rPr>
                <w:rFonts w:asciiTheme="minorHAnsi" w:hAnsiTheme="minorHAnsi"/>
              </w:rPr>
              <w:t>Finder, at det samlet</w:t>
            </w:r>
            <w:r w:rsidRPr="00116198">
              <w:rPr>
                <w:rFonts w:asciiTheme="minorHAnsi" w:hAnsiTheme="minorHAnsi"/>
              </w:rPr>
              <w:t xml:space="preserve"> set</w:t>
            </w:r>
            <w:r>
              <w:rPr>
                <w:rFonts w:asciiTheme="minorHAnsi" w:hAnsiTheme="minorHAnsi"/>
              </w:rPr>
              <w:t xml:space="preserve"> er</w:t>
            </w:r>
            <w:r w:rsidRPr="00116198">
              <w:rPr>
                <w:rFonts w:asciiTheme="minorHAnsi" w:hAnsiTheme="minorHAnsi"/>
              </w:rPr>
              <w:t xml:space="preserve"> glæd</w:t>
            </w:r>
            <w:r w:rsidRPr="00116198">
              <w:rPr>
                <w:rFonts w:asciiTheme="minorHAnsi" w:hAnsiTheme="minorHAnsi"/>
              </w:rPr>
              <w:t>e</w:t>
            </w:r>
            <w:r w:rsidRPr="00116198">
              <w:rPr>
                <w:rFonts w:asciiTheme="minorHAnsi" w:hAnsiTheme="minorHAnsi"/>
              </w:rPr>
              <w:t>ligt, at regeringen har sikret danske virksomheder gode konkurrenc</w:t>
            </w:r>
            <w:r w:rsidRPr="00116198">
              <w:rPr>
                <w:rFonts w:asciiTheme="minorHAnsi" w:hAnsiTheme="minorHAnsi"/>
              </w:rPr>
              <w:t>e</w:t>
            </w:r>
            <w:r w:rsidRPr="00116198">
              <w:rPr>
                <w:rFonts w:asciiTheme="minorHAnsi" w:hAnsiTheme="minorHAnsi"/>
              </w:rPr>
              <w:t xml:space="preserve">vilkår. </w:t>
            </w:r>
            <w:r>
              <w:rPr>
                <w:rFonts w:asciiTheme="minorHAnsi" w:hAnsiTheme="minorHAnsi"/>
              </w:rPr>
              <w:t>Finder dog, at d</w:t>
            </w:r>
            <w:r w:rsidRPr="00116198">
              <w:rPr>
                <w:rFonts w:asciiTheme="minorHAnsi" w:hAnsiTheme="minorHAnsi"/>
              </w:rPr>
              <w:t xml:space="preserve">en del af </w:t>
            </w:r>
            <w:proofErr w:type="spellStart"/>
            <w:r w:rsidRPr="00116198">
              <w:rPr>
                <w:rFonts w:asciiTheme="minorHAnsi" w:hAnsiTheme="minorHAnsi"/>
              </w:rPr>
              <w:t>NOx</w:t>
            </w:r>
            <w:proofErr w:type="spellEnd"/>
            <w:r w:rsidRPr="00116198">
              <w:rPr>
                <w:rFonts w:asciiTheme="minorHAnsi" w:hAnsiTheme="minorHAnsi"/>
              </w:rPr>
              <w:t>-afgiften, som ikke kan b</w:t>
            </w:r>
            <w:r w:rsidRPr="00116198">
              <w:rPr>
                <w:rFonts w:asciiTheme="minorHAnsi" w:hAnsiTheme="minorHAnsi"/>
              </w:rPr>
              <w:t>e</w:t>
            </w:r>
            <w:r w:rsidRPr="00116198">
              <w:rPr>
                <w:rFonts w:asciiTheme="minorHAnsi" w:hAnsiTheme="minorHAnsi"/>
              </w:rPr>
              <w:t>grundes miljømæssigt, bør fjernes,</w:t>
            </w:r>
            <w:r>
              <w:rPr>
                <w:rFonts w:asciiTheme="minorHAnsi" w:hAnsiTheme="minorHAnsi"/>
              </w:rPr>
              <w:t xml:space="preserve"> og at afgiften</w:t>
            </w:r>
            <w:r w:rsidRPr="00116198">
              <w:rPr>
                <w:rFonts w:asciiTheme="minorHAnsi" w:hAnsiTheme="minorHAnsi"/>
              </w:rPr>
              <w:t xml:space="preserve"> på el i husholdninger og liberale erhverv </w:t>
            </w:r>
            <w:r>
              <w:rPr>
                <w:rFonts w:asciiTheme="minorHAnsi" w:hAnsiTheme="minorHAnsi"/>
              </w:rPr>
              <w:t>bør sænkes.</w:t>
            </w:r>
          </w:p>
        </w:tc>
        <w:tc>
          <w:tcPr>
            <w:tcW w:w="3466" w:type="dxa"/>
          </w:tcPr>
          <w:p w:rsidR="003F5DD2" w:rsidRPr="0051644C" w:rsidRDefault="003F5DD2" w:rsidP="00584E28">
            <w:pPr>
              <w:jc w:val="left"/>
              <w:rPr>
                <w:rFonts w:asciiTheme="minorHAnsi" w:hAnsiTheme="minorHAnsi" w:cs="Calibri"/>
                <w:szCs w:val="24"/>
              </w:rPr>
            </w:pPr>
            <w:r>
              <w:rPr>
                <w:rFonts w:asciiTheme="minorHAnsi" w:hAnsiTheme="minorHAnsi" w:cs="Calibri"/>
                <w:szCs w:val="24"/>
              </w:rPr>
              <w:t>De to forslag falder uden for rammerne af dette lovforslag.</w:t>
            </w: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Erhverv</w:t>
            </w:r>
          </w:p>
        </w:tc>
        <w:tc>
          <w:tcPr>
            <w:tcW w:w="3459" w:type="dxa"/>
          </w:tcPr>
          <w:p w:rsidR="003F5DD2" w:rsidRDefault="003F5DD2" w:rsidP="00584E28">
            <w:pPr>
              <w:jc w:val="left"/>
            </w:pPr>
            <w:r>
              <w:t>Roser overordnet set fremrykni</w:t>
            </w:r>
            <w:r>
              <w:t>n</w:t>
            </w:r>
            <w:r>
              <w:t>gen af skattelettelserne fra</w:t>
            </w:r>
            <w:r w:rsidR="008A23E7">
              <w:t xml:space="preserve"> Aftaler om</w:t>
            </w:r>
            <w:r>
              <w:t xml:space="preserve"> Vækstplan DK og fra aftalen om skattereformen fra 2012, idet der er tale om flere forskellige elementer, der alle generelt har en positiv betydning for dansk e</w:t>
            </w:r>
            <w:r>
              <w:t>r</w:t>
            </w:r>
            <w:r>
              <w:t>hvervsliv.</w:t>
            </w:r>
          </w:p>
          <w:p w:rsidR="009C0DAB" w:rsidRDefault="009C0DAB" w:rsidP="00584E28">
            <w:pPr>
              <w:jc w:val="left"/>
            </w:pPr>
          </w:p>
          <w:p w:rsidR="009C0DAB" w:rsidRDefault="009C0DAB" w:rsidP="00584E28">
            <w:pPr>
              <w:jc w:val="left"/>
              <w:rPr>
                <w:rFonts w:asciiTheme="minorHAnsi" w:hAnsiTheme="minorHAnsi" w:cs="Calibri"/>
                <w:szCs w:val="24"/>
              </w:rPr>
            </w:pPr>
            <w:r>
              <w:rPr>
                <w:rFonts w:asciiTheme="minorHAnsi" w:hAnsiTheme="minorHAnsi" w:cs="Calibri"/>
                <w:szCs w:val="24"/>
              </w:rPr>
              <w:t>Dansk Erhverv vurderer, at fre</w:t>
            </w:r>
            <w:r>
              <w:rPr>
                <w:rFonts w:asciiTheme="minorHAnsi" w:hAnsiTheme="minorHAnsi" w:cs="Calibri"/>
                <w:szCs w:val="24"/>
              </w:rPr>
              <w:t>m</w:t>
            </w:r>
            <w:r>
              <w:rPr>
                <w:rFonts w:asciiTheme="minorHAnsi" w:hAnsiTheme="minorHAnsi" w:cs="Calibri"/>
                <w:szCs w:val="24"/>
              </w:rPr>
              <w:t>rykning af afskaffelsen af den vægtbaserede emballageafgift is</w:t>
            </w:r>
            <w:r>
              <w:rPr>
                <w:rFonts w:asciiTheme="minorHAnsi" w:hAnsiTheme="minorHAnsi" w:cs="Calibri"/>
                <w:szCs w:val="24"/>
              </w:rPr>
              <w:t>o</w:t>
            </w:r>
            <w:r>
              <w:rPr>
                <w:rFonts w:asciiTheme="minorHAnsi" w:hAnsiTheme="minorHAnsi" w:cs="Calibri"/>
                <w:szCs w:val="24"/>
              </w:rPr>
              <w:t>leret set er positiv</w:t>
            </w:r>
            <w:r w:rsidR="00C2570F">
              <w:rPr>
                <w:rFonts w:asciiTheme="minorHAnsi" w:hAnsiTheme="minorHAnsi" w:cs="Calibri"/>
                <w:szCs w:val="24"/>
              </w:rPr>
              <w:t>t</w:t>
            </w:r>
            <w:r>
              <w:rPr>
                <w:rFonts w:asciiTheme="minorHAnsi" w:hAnsiTheme="minorHAnsi" w:cs="Calibri"/>
                <w:szCs w:val="24"/>
              </w:rPr>
              <w:t xml:space="preserve">. </w:t>
            </w:r>
          </w:p>
          <w:p w:rsidR="009C0DAB" w:rsidRDefault="009C0DAB" w:rsidP="00584E28">
            <w:pPr>
              <w:jc w:val="left"/>
              <w:rPr>
                <w:rFonts w:asciiTheme="minorHAnsi" w:hAnsiTheme="minorHAnsi" w:cs="Calibri"/>
                <w:szCs w:val="24"/>
              </w:rPr>
            </w:pPr>
          </w:p>
          <w:p w:rsidR="009C0DAB" w:rsidRDefault="009C0DAB" w:rsidP="00584E28">
            <w:pPr>
              <w:jc w:val="left"/>
              <w:rPr>
                <w:rFonts w:asciiTheme="minorHAnsi" w:hAnsiTheme="minorHAnsi" w:cs="Calibri"/>
                <w:szCs w:val="24"/>
              </w:rPr>
            </w:pPr>
            <w:r>
              <w:rPr>
                <w:rFonts w:asciiTheme="minorHAnsi" w:hAnsiTheme="minorHAnsi" w:cs="Calibri"/>
                <w:szCs w:val="24"/>
              </w:rPr>
              <w:t>Dansk Erhverv bemærker dog, at der er behov for en godtgørelse</w:t>
            </w:r>
            <w:r>
              <w:rPr>
                <w:rFonts w:asciiTheme="minorHAnsi" w:hAnsiTheme="minorHAnsi" w:cs="Calibri"/>
                <w:szCs w:val="24"/>
              </w:rPr>
              <w:t>s</w:t>
            </w:r>
            <w:r>
              <w:rPr>
                <w:rFonts w:asciiTheme="minorHAnsi" w:hAnsiTheme="minorHAnsi" w:cs="Calibri"/>
                <w:szCs w:val="24"/>
              </w:rPr>
              <w:t xml:space="preserve">ordning idet der er kort tid for virksomhederne til at tilpasse sig afskaffelsen af den vægtbaserede emballageafgift. </w:t>
            </w:r>
          </w:p>
          <w:p w:rsidR="009C0DAB" w:rsidRDefault="009C0DAB" w:rsidP="00584E28">
            <w:pPr>
              <w:jc w:val="left"/>
              <w:rPr>
                <w:rFonts w:asciiTheme="minorHAnsi" w:hAnsiTheme="minorHAnsi" w:cs="Calibri"/>
                <w:szCs w:val="24"/>
              </w:rPr>
            </w:pPr>
          </w:p>
          <w:p w:rsidR="003F5DD2" w:rsidRDefault="009C0DAB" w:rsidP="00584E28">
            <w:pPr>
              <w:jc w:val="left"/>
              <w:rPr>
                <w:rFonts w:asciiTheme="minorHAnsi" w:hAnsiTheme="minorHAnsi"/>
              </w:rPr>
            </w:pPr>
            <w:r>
              <w:rPr>
                <w:rFonts w:asciiTheme="minorHAnsi" w:hAnsiTheme="minorHAnsi" w:cs="Calibri"/>
                <w:szCs w:val="24"/>
              </w:rPr>
              <w:t>Endelig er Dansk Erhverv beky</w:t>
            </w:r>
            <w:r>
              <w:rPr>
                <w:rFonts w:asciiTheme="minorHAnsi" w:hAnsiTheme="minorHAnsi" w:cs="Calibri"/>
                <w:szCs w:val="24"/>
              </w:rPr>
              <w:t>m</w:t>
            </w:r>
            <w:r>
              <w:rPr>
                <w:rFonts w:asciiTheme="minorHAnsi" w:hAnsiTheme="minorHAnsi" w:cs="Calibri"/>
                <w:szCs w:val="24"/>
              </w:rPr>
              <w:t>ret for, om afgiftslettelserne kommer detailledet og dermed forbrugerne til gode. Dansk E</w:t>
            </w:r>
            <w:r>
              <w:rPr>
                <w:rFonts w:asciiTheme="minorHAnsi" w:hAnsiTheme="minorHAnsi" w:cs="Calibri"/>
                <w:szCs w:val="24"/>
              </w:rPr>
              <w:t>r</w:t>
            </w:r>
            <w:r>
              <w:rPr>
                <w:rFonts w:asciiTheme="minorHAnsi" w:hAnsiTheme="minorHAnsi" w:cs="Calibri"/>
                <w:szCs w:val="24"/>
              </w:rPr>
              <w:t>hverv mener derfor, at det burde fremgå af lovforslaget, at afgiftsle</w:t>
            </w:r>
            <w:r>
              <w:rPr>
                <w:rFonts w:asciiTheme="minorHAnsi" w:hAnsiTheme="minorHAnsi" w:cs="Calibri"/>
                <w:szCs w:val="24"/>
              </w:rPr>
              <w:t>t</w:t>
            </w:r>
            <w:r>
              <w:rPr>
                <w:rFonts w:asciiTheme="minorHAnsi" w:hAnsiTheme="minorHAnsi" w:cs="Calibri"/>
                <w:szCs w:val="24"/>
              </w:rPr>
              <w:t>telserne overvæltes.</w:t>
            </w:r>
          </w:p>
        </w:tc>
        <w:tc>
          <w:tcPr>
            <w:tcW w:w="3466" w:type="dxa"/>
          </w:tcPr>
          <w:p w:rsidR="003F5DD2" w:rsidRDefault="003F5DD2"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137FA9" w:rsidRDefault="00137FA9"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r>
              <w:rPr>
                <w:rFonts w:asciiTheme="minorHAnsi" w:hAnsiTheme="minorHAnsi" w:cs="Calibri"/>
                <w:szCs w:val="24"/>
              </w:rPr>
              <w:t>Se kommentaren til Bryggerifo</w:t>
            </w:r>
            <w:r>
              <w:rPr>
                <w:rFonts w:asciiTheme="minorHAnsi" w:hAnsiTheme="minorHAnsi" w:cs="Calibri"/>
                <w:szCs w:val="24"/>
              </w:rPr>
              <w:t>r</w:t>
            </w:r>
            <w:r>
              <w:rPr>
                <w:rFonts w:asciiTheme="minorHAnsi" w:hAnsiTheme="minorHAnsi" w:cs="Calibri"/>
                <w:szCs w:val="24"/>
              </w:rPr>
              <w:t>eningen vedr. en godtgørelsesor</w:t>
            </w:r>
            <w:r>
              <w:rPr>
                <w:rFonts w:asciiTheme="minorHAnsi" w:hAnsiTheme="minorHAnsi" w:cs="Calibri"/>
                <w:szCs w:val="24"/>
              </w:rPr>
              <w:t>d</w:t>
            </w:r>
            <w:r>
              <w:rPr>
                <w:rFonts w:asciiTheme="minorHAnsi" w:hAnsiTheme="minorHAnsi" w:cs="Calibri"/>
                <w:szCs w:val="24"/>
              </w:rPr>
              <w:t>ning.</w:t>
            </w: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p>
          <w:p w:rsidR="007013D8" w:rsidRDefault="007013D8" w:rsidP="00584E28">
            <w:pPr>
              <w:jc w:val="left"/>
              <w:rPr>
                <w:rFonts w:asciiTheme="minorHAnsi" w:hAnsiTheme="minorHAnsi" w:cs="Calibri"/>
                <w:szCs w:val="24"/>
              </w:rPr>
            </w:pPr>
            <w:r>
              <w:rPr>
                <w:rFonts w:asciiTheme="minorHAnsi" w:hAnsiTheme="minorHAnsi" w:cs="Calibri"/>
                <w:szCs w:val="24"/>
              </w:rPr>
              <w:t xml:space="preserve">Se kommentaren til DLF vedr. </w:t>
            </w:r>
            <w:proofErr w:type="spellStart"/>
            <w:r>
              <w:rPr>
                <w:rFonts w:asciiTheme="minorHAnsi" w:hAnsiTheme="minorHAnsi" w:cs="Calibri"/>
                <w:szCs w:val="24"/>
              </w:rPr>
              <w:t>overvæltning</w:t>
            </w:r>
            <w:proofErr w:type="spellEnd"/>
            <w:r>
              <w:rPr>
                <w:rFonts w:asciiTheme="minorHAnsi" w:hAnsiTheme="minorHAnsi" w:cs="Calibri"/>
                <w:szCs w:val="24"/>
              </w:rPr>
              <w:t>.</w:t>
            </w:r>
          </w:p>
          <w:p w:rsidR="007013D8" w:rsidRDefault="007013D8" w:rsidP="00584E28">
            <w:pPr>
              <w:jc w:val="left"/>
              <w:rPr>
                <w:rFonts w:asciiTheme="minorHAnsi" w:hAnsiTheme="minorHAnsi" w:cs="Calibri"/>
                <w:szCs w:val="24"/>
              </w:rPr>
            </w:pP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Fjernvarme</w:t>
            </w:r>
          </w:p>
        </w:tc>
        <w:tc>
          <w:tcPr>
            <w:tcW w:w="3459" w:type="dxa"/>
          </w:tcPr>
          <w:p w:rsidR="003F5DD2" w:rsidRDefault="003F5DD2" w:rsidP="005E44B4">
            <w:pPr>
              <w:spacing w:after="60"/>
              <w:jc w:val="left"/>
            </w:pPr>
            <w:r>
              <w:t>Ingen bemærkninger.</w:t>
            </w:r>
          </w:p>
        </w:tc>
        <w:tc>
          <w:tcPr>
            <w:tcW w:w="3466" w:type="dxa"/>
          </w:tcPr>
          <w:p w:rsidR="003F5DD2" w:rsidRDefault="003F5DD2" w:rsidP="005E44B4">
            <w:pPr>
              <w:spacing w:after="60"/>
              <w:jc w:val="left"/>
              <w:rPr>
                <w:rFonts w:asciiTheme="minorHAnsi" w:hAnsiTheme="minorHAnsi" w:cs="Calibri"/>
                <w:szCs w:val="24"/>
              </w:rPr>
            </w:pP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Metal</w:t>
            </w:r>
          </w:p>
        </w:tc>
        <w:tc>
          <w:tcPr>
            <w:tcW w:w="3459" w:type="dxa"/>
          </w:tcPr>
          <w:p w:rsidR="003F5DD2" w:rsidRDefault="003F5DD2" w:rsidP="005E44B4">
            <w:pPr>
              <w:spacing w:after="60"/>
              <w:jc w:val="left"/>
              <w:rPr>
                <w:rFonts w:asciiTheme="minorHAnsi" w:hAnsiTheme="minorHAnsi" w:cs="Calibri"/>
                <w:szCs w:val="24"/>
              </w:rPr>
            </w:pPr>
            <w:r>
              <w:rPr>
                <w:rFonts w:asciiTheme="minorHAnsi" w:hAnsiTheme="minorHAnsi" w:cs="Calibri"/>
                <w:szCs w:val="24"/>
              </w:rPr>
              <w:t>Kan fuldt ud tilslutte sig forslaget, som vil gøre det endnu mere a</w:t>
            </w:r>
            <w:r>
              <w:rPr>
                <w:rFonts w:asciiTheme="minorHAnsi" w:hAnsiTheme="minorHAnsi" w:cs="Calibri"/>
                <w:szCs w:val="24"/>
              </w:rPr>
              <w:t>t</w:t>
            </w:r>
            <w:r>
              <w:rPr>
                <w:rFonts w:asciiTheme="minorHAnsi" w:hAnsiTheme="minorHAnsi" w:cs="Calibri"/>
                <w:szCs w:val="24"/>
              </w:rPr>
              <w:t>traktivt at drive virksomhed i Danmark – til gavn for vækst og beskæftigelse.</w:t>
            </w:r>
          </w:p>
        </w:tc>
        <w:tc>
          <w:tcPr>
            <w:tcW w:w="3466" w:type="dxa"/>
          </w:tcPr>
          <w:p w:rsidR="003F5DD2" w:rsidRPr="0051644C" w:rsidRDefault="003F5DD2" w:rsidP="005E44B4">
            <w:pPr>
              <w:spacing w:after="60"/>
              <w:jc w:val="left"/>
              <w:rPr>
                <w:rFonts w:asciiTheme="minorHAnsi" w:hAnsiTheme="minorHAnsi" w:cs="Calibri"/>
                <w:szCs w:val="24"/>
              </w:rPr>
            </w:pPr>
          </w:p>
        </w:tc>
      </w:tr>
      <w:tr w:rsidR="003F5DD2" w:rsidRPr="0051644C" w:rsidTr="003F5DD2">
        <w:trPr>
          <w:trHeight w:val="360"/>
        </w:trPr>
        <w:tc>
          <w:tcPr>
            <w:tcW w:w="2836" w:type="dxa"/>
          </w:tcPr>
          <w:p w:rsidR="003F5DD2" w:rsidRDefault="003F5DD2" w:rsidP="005E44B4">
            <w:pPr>
              <w:spacing w:after="60"/>
              <w:jc w:val="left"/>
              <w:rPr>
                <w:rFonts w:asciiTheme="minorHAnsi" w:hAnsiTheme="minorHAnsi" w:cs="Calibri"/>
                <w:b/>
                <w:szCs w:val="24"/>
              </w:rPr>
            </w:pPr>
            <w:r>
              <w:rPr>
                <w:rFonts w:asciiTheme="minorHAnsi" w:hAnsiTheme="minorHAnsi" w:cs="Calibri"/>
                <w:b/>
                <w:szCs w:val="24"/>
              </w:rPr>
              <w:t>Dansk Retursystem A/S</w:t>
            </w:r>
          </w:p>
        </w:tc>
        <w:tc>
          <w:tcPr>
            <w:tcW w:w="3459" w:type="dxa"/>
          </w:tcPr>
          <w:p w:rsidR="003F5DD2" w:rsidRDefault="003F5DD2" w:rsidP="005E44B4">
            <w:pPr>
              <w:spacing w:after="60"/>
              <w:jc w:val="left"/>
              <w:rPr>
                <w:rFonts w:asciiTheme="minorHAnsi" w:hAnsiTheme="minorHAnsi" w:cs="Calibri"/>
                <w:szCs w:val="24"/>
              </w:rPr>
            </w:pPr>
            <w:r>
              <w:rPr>
                <w:rFonts w:asciiTheme="minorHAnsi" w:hAnsiTheme="minorHAnsi" w:cs="Calibri"/>
                <w:szCs w:val="24"/>
              </w:rPr>
              <w:t>Ingen bemærkninger.</w:t>
            </w:r>
          </w:p>
        </w:tc>
        <w:tc>
          <w:tcPr>
            <w:tcW w:w="3466" w:type="dxa"/>
          </w:tcPr>
          <w:p w:rsidR="003F5DD2" w:rsidRPr="0051644C" w:rsidRDefault="003F5DD2" w:rsidP="005E44B4">
            <w:pPr>
              <w:spacing w:after="60"/>
              <w:jc w:val="left"/>
              <w:rPr>
                <w:rFonts w:asciiTheme="minorHAnsi" w:hAnsiTheme="minorHAnsi" w:cs="Calibri"/>
                <w:szCs w:val="24"/>
              </w:rPr>
            </w:pPr>
          </w:p>
        </w:tc>
      </w:tr>
      <w:tr w:rsidR="003F5DD2" w:rsidRPr="0051644C" w:rsidTr="003F5DD2">
        <w:trPr>
          <w:trHeight w:val="360"/>
        </w:trPr>
        <w:tc>
          <w:tcPr>
            <w:tcW w:w="2836" w:type="dxa"/>
          </w:tcPr>
          <w:p w:rsidR="003F5DD2" w:rsidRPr="0051644C" w:rsidRDefault="003F5DD2" w:rsidP="005E44B4">
            <w:pPr>
              <w:spacing w:after="60"/>
              <w:jc w:val="left"/>
              <w:rPr>
                <w:rFonts w:asciiTheme="minorHAnsi" w:hAnsiTheme="minorHAnsi" w:cs="Calibri"/>
                <w:b/>
                <w:szCs w:val="24"/>
              </w:rPr>
            </w:pPr>
            <w:r>
              <w:rPr>
                <w:rFonts w:asciiTheme="minorHAnsi" w:hAnsiTheme="minorHAnsi" w:cs="Calibri"/>
                <w:b/>
                <w:szCs w:val="24"/>
              </w:rPr>
              <w:t>Dansk Transport og L</w:t>
            </w:r>
            <w:r>
              <w:rPr>
                <w:rFonts w:asciiTheme="minorHAnsi" w:hAnsiTheme="minorHAnsi" w:cs="Calibri"/>
                <w:b/>
                <w:szCs w:val="24"/>
              </w:rPr>
              <w:t>o</w:t>
            </w:r>
            <w:r>
              <w:rPr>
                <w:rFonts w:asciiTheme="minorHAnsi" w:hAnsiTheme="minorHAnsi" w:cs="Calibri"/>
                <w:b/>
                <w:szCs w:val="24"/>
              </w:rPr>
              <w:t>gistik (DTL)</w:t>
            </w:r>
          </w:p>
        </w:tc>
        <w:tc>
          <w:tcPr>
            <w:tcW w:w="3459" w:type="dxa"/>
          </w:tcPr>
          <w:p w:rsidR="003F5DD2" w:rsidRPr="0051644C" w:rsidRDefault="003F5DD2" w:rsidP="005E44B4">
            <w:pPr>
              <w:spacing w:after="60"/>
              <w:jc w:val="left"/>
              <w:rPr>
                <w:rFonts w:asciiTheme="minorHAnsi" w:hAnsiTheme="minorHAnsi" w:cs="Calibri"/>
                <w:szCs w:val="24"/>
              </w:rPr>
            </w:pPr>
            <w:r>
              <w:rPr>
                <w:rFonts w:asciiTheme="minorHAnsi" w:hAnsiTheme="minorHAnsi" w:cs="Calibri"/>
                <w:szCs w:val="24"/>
              </w:rPr>
              <w:t>Kvitterer for et samlet set godt og vigtigt forslag, idet DTL deler synspunktet i forslagets almindel</w:t>
            </w:r>
            <w:r>
              <w:rPr>
                <w:rFonts w:asciiTheme="minorHAnsi" w:hAnsiTheme="minorHAnsi" w:cs="Calibri"/>
                <w:szCs w:val="24"/>
              </w:rPr>
              <w:t>i</w:t>
            </w:r>
            <w:r>
              <w:rPr>
                <w:rFonts w:asciiTheme="minorHAnsi" w:hAnsiTheme="minorHAnsi" w:cs="Calibri"/>
                <w:szCs w:val="24"/>
              </w:rPr>
              <w:t>ge bemærkninger om, at de fre</w:t>
            </w:r>
            <w:r>
              <w:rPr>
                <w:rFonts w:asciiTheme="minorHAnsi" w:hAnsiTheme="minorHAnsi" w:cs="Calibri"/>
                <w:szCs w:val="24"/>
              </w:rPr>
              <w:t>m</w:t>
            </w:r>
            <w:r>
              <w:rPr>
                <w:rFonts w:asciiTheme="minorHAnsi" w:hAnsiTheme="minorHAnsi" w:cs="Calibri"/>
                <w:szCs w:val="24"/>
              </w:rPr>
              <w:t>rykkede erhvervsrettede skattele</w:t>
            </w:r>
            <w:r>
              <w:rPr>
                <w:rFonts w:asciiTheme="minorHAnsi" w:hAnsiTheme="minorHAnsi" w:cs="Calibri"/>
                <w:szCs w:val="24"/>
              </w:rPr>
              <w:t>t</w:t>
            </w:r>
            <w:r>
              <w:rPr>
                <w:rFonts w:asciiTheme="minorHAnsi" w:hAnsiTheme="minorHAnsi" w:cs="Calibri"/>
                <w:szCs w:val="24"/>
              </w:rPr>
              <w:t>telser vil kunne bidrage til øget aktivitet og investeringer og en bedre likviditet i virksomhederne.</w:t>
            </w:r>
          </w:p>
        </w:tc>
        <w:tc>
          <w:tcPr>
            <w:tcW w:w="3466" w:type="dxa"/>
          </w:tcPr>
          <w:p w:rsidR="003F5DD2" w:rsidRPr="0051644C" w:rsidRDefault="003F5DD2" w:rsidP="005E44B4">
            <w:pPr>
              <w:spacing w:after="60"/>
              <w:jc w:val="left"/>
              <w:rPr>
                <w:rFonts w:asciiTheme="minorHAnsi" w:hAnsiTheme="minorHAnsi" w:cs="Calibri"/>
                <w:szCs w:val="24"/>
              </w:rPr>
            </w:pPr>
          </w:p>
        </w:tc>
      </w:tr>
      <w:tr w:rsidR="003F5DD2" w:rsidRPr="0051644C" w:rsidTr="003F5DD2">
        <w:trPr>
          <w:trHeight w:val="343"/>
        </w:trPr>
        <w:tc>
          <w:tcPr>
            <w:tcW w:w="2836" w:type="dxa"/>
          </w:tcPr>
          <w:p w:rsidR="003F5DD2" w:rsidRPr="0051644C" w:rsidRDefault="003F5DD2" w:rsidP="005E44B4">
            <w:pPr>
              <w:spacing w:after="60"/>
              <w:jc w:val="left"/>
              <w:rPr>
                <w:rFonts w:asciiTheme="minorHAnsi" w:hAnsiTheme="minorHAnsi" w:cs="Calibri"/>
                <w:b/>
                <w:szCs w:val="24"/>
              </w:rPr>
            </w:pPr>
            <w:r>
              <w:rPr>
                <w:rFonts w:asciiTheme="minorHAnsi" w:hAnsiTheme="minorHAnsi" w:cs="Calibri"/>
                <w:b/>
                <w:szCs w:val="24"/>
              </w:rPr>
              <w:t>Datatilsynet</w:t>
            </w:r>
          </w:p>
        </w:tc>
        <w:tc>
          <w:tcPr>
            <w:tcW w:w="3459" w:type="dxa"/>
          </w:tcPr>
          <w:p w:rsidR="003F5DD2" w:rsidRPr="0051644C" w:rsidRDefault="003F5DD2" w:rsidP="005E44B4">
            <w:pPr>
              <w:spacing w:after="60"/>
              <w:jc w:val="left"/>
              <w:rPr>
                <w:rFonts w:asciiTheme="minorHAnsi" w:hAnsiTheme="minorHAnsi" w:cs="Calibri"/>
                <w:szCs w:val="24"/>
              </w:rPr>
            </w:pPr>
            <w:r>
              <w:rPr>
                <w:rFonts w:asciiTheme="minorHAnsi" w:hAnsiTheme="minorHAnsi" w:cs="Calibri"/>
                <w:szCs w:val="24"/>
              </w:rPr>
              <w:t>Ingen bemærkninger.</w:t>
            </w:r>
          </w:p>
        </w:tc>
        <w:tc>
          <w:tcPr>
            <w:tcW w:w="3466" w:type="dxa"/>
          </w:tcPr>
          <w:p w:rsidR="003F5DD2" w:rsidRPr="0051644C" w:rsidRDefault="003F5DD2" w:rsidP="005E44B4">
            <w:pPr>
              <w:spacing w:after="60"/>
              <w:jc w:val="left"/>
              <w:rPr>
                <w:rFonts w:asciiTheme="minorHAnsi" w:hAnsiTheme="minorHAnsi" w:cs="Calibri"/>
                <w:szCs w:val="24"/>
              </w:rPr>
            </w:pPr>
          </w:p>
        </w:tc>
      </w:tr>
      <w:tr w:rsidR="00D45546" w:rsidRPr="0051644C" w:rsidTr="003F5DD2">
        <w:trPr>
          <w:trHeight w:val="343"/>
        </w:trPr>
        <w:tc>
          <w:tcPr>
            <w:tcW w:w="2836" w:type="dxa"/>
          </w:tcPr>
          <w:p w:rsidR="00D45546" w:rsidRDefault="00D45546" w:rsidP="00D45546">
            <w:pPr>
              <w:spacing w:after="60"/>
              <w:jc w:val="left"/>
              <w:rPr>
                <w:rFonts w:asciiTheme="minorHAnsi" w:hAnsiTheme="minorHAnsi" w:cs="Calibri"/>
                <w:b/>
                <w:szCs w:val="24"/>
              </w:rPr>
            </w:pPr>
            <w:r>
              <w:rPr>
                <w:rFonts w:asciiTheme="minorHAnsi" w:hAnsiTheme="minorHAnsi" w:cs="Calibri"/>
                <w:b/>
                <w:szCs w:val="24"/>
              </w:rPr>
              <w:t>De Samvirkende Kø</w:t>
            </w:r>
            <w:r>
              <w:rPr>
                <w:rFonts w:asciiTheme="minorHAnsi" w:hAnsiTheme="minorHAnsi" w:cs="Calibri"/>
                <w:b/>
                <w:szCs w:val="24"/>
              </w:rPr>
              <w:t>b</w:t>
            </w:r>
            <w:r>
              <w:rPr>
                <w:rFonts w:asciiTheme="minorHAnsi" w:hAnsiTheme="minorHAnsi" w:cs="Calibri"/>
                <w:b/>
                <w:szCs w:val="24"/>
              </w:rPr>
              <w:t>mænd (DSK)</w:t>
            </w:r>
          </w:p>
        </w:tc>
        <w:tc>
          <w:tcPr>
            <w:tcW w:w="3459" w:type="dxa"/>
          </w:tcPr>
          <w:p w:rsidR="007D7D2E" w:rsidRDefault="007D7D2E" w:rsidP="007D7D2E">
            <w:pPr>
              <w:jc w:val="left"/>
              <w:rPr>
                <w:rFonts w:asciiTheme="minorHAnsi" w:hAnsiTheme="minorHAnsi" w:cs="Calibri"/>
                <w:szCs w:val="24"/>
              </w:rPr>
            </w:pPr>
            <w:r>
              <w:rPr>
                <w:rFonts w:asciiTheme="minorHAnsi" w:hAnsiTheme="minorHAnsi" w:cs="Calibri"/>
                <w:szCs w:val="24"/>
              </w:rPr>
              <w:t>DSK finder, at fremrykning af ophævelse af den vægtbaserede emballageafgift er meget positivt, idet afgiften har været særdeles byrdefuld for fødevareproducenter og importører. DSK forventer, at frafaldet af såvel administrative byrder som selve afgiften vil a</w:t>
            </w:r>
            <w:r>
              <w:rPr>
                <w:rFonts w:asciiTheme="minorHAnsi" w:hAnsiTheme="minorHAnsi" w:cs="Calibri"/>
                <w:szCs w:val="24"/>
              </w:rPr>
              <w:t>f</w:t>
            </w:r>
            <w:r>
              <w:rPr>
                <w:rFonts w:asciiTheme="minorHAnsi" w:hAnsiTheme="minorHAnsi" w:cs="Calibri"/>
                <w:szCs w:val="24"/>
              </w:rPr>
              <w:t>spejle sig i lavere priser fra prod</w:t>
            </w:r>
            <w:r>
              <w:rPr>
                <w:rFonts w:asciiTheme="minorHAnsi" w:hAnsiTheme="minorHAnsi" w:cs="Calibri"/>
                <w:szCs w:val="24"/>
              </w:rPr>
              <w:t>u</w:t>
            </w:r>
            <w:r>
              <w:rPr>
                <w:rFonts w:asciiTheme="minorHAnsi" w:hAnsiTheme="minorHAnsi" w:cs="Calibri"/>
                <w:szCs w:val="24"/>
              </w:rPr>
              <w:t xml:space="preserve">center og importører. </w:t>
            </w:r>
          </w:p>
          <w:p w:rsidR="007D7D2E" w:rsidRDefault="007D7D2E" w:rsidP="007D7D2E">
            <w:pPr>
              <w:jc w:val="left"/>
              <w:rPr>
                <w:rFonts w:asciiTheme="minorHAnsi" w:hAnsiTheme="minorHAnsi" w:cs="Calibri"/>
                <w:szCs w:val="24"/>
              </w:rPr>
            </w:pPr>
          </w:p>
          <w:p w:rsidR="00D45546" w:rsidRDefault="007D7D2E" w:rsidP="004F6C87">
            <w:pPr>
              <w:spacing w:after="60"/>
              <w:jc w:val="left"/>
              <w:rPr>
                <w:rFonts w:asciiTheme="minorHAnsi" w:hAnsiTheme="minorHAnsi" w:cs="Calibri"/>
                <w:szCs w:val="24"/>
              </w:rPr>
            </w:pPr>
            <w:r>
              <w:rPr>
                <w:rFonts w:asciiTheme="minorHAnsi" w:hAnsiTheme="minorHAnsi" w:cs="Calibri"/>
                <w:szCs w:val="24"/>
              </w:rPr>
              <w:t>DSK vil gerne opfordre til, at der indføres en godtgørelsesordning for detailhandlen, da loven forve</w:t>
            </w:r>
            <w:r>
              <w:rPr>
                <w:rFonts w:asciiTheme="minorHAnsi" w:hAnsiTheme="minorHAnsi" w:cs="Calibri"/>
                <w:szCs w:val="24"/>
              </w:rPr>
              <w:t>n</w:t>
            </w:r>
            <w:r>
              <w:rPr>
                <w:rFonts w:asciiTheme="minorHAnsi" w:hAnsiTheme="minorHAnsi" w:cs="Calibri"/>
                <w:szCs w:val="24"/>
              </w:rPr>
              <w:t>tes vedtaget og i</w:t>
            </w:r>
            <w:r w:rsidR="004F6C87">
              <w:rPr>
                <w:rFonts w:asciiTheme="minorHAnsi" w:hAnsiTheme="minorHAnsi" w:cs="Calibri"/>
                <w:szCs w:val="24"/>
              </w:rPr>
              <w:t xml:space="preserve"> </w:t>
            </w:r>
            <w:r>
              <w:rPr>
                <w:rFonts w:asciiTheme="minorHAnsi" w:hAnsiTheme="minorHAnsi" w:cs="Calibri"/>
                <w:szCs w:val="24"/>
              </w:rPr>
              <w:t>kraftsat med m</w:t>
            </w:r>
            <w:r>
              <w:rPr>
                <w:rFonts w:asciiTheme="minorHAnsi" w:hAnsiTheme="minorHAnsi" w:cs="Calibri"/>
                <w:szCs w:val="24"/>
              </w:rPr>
              <w:t>e</w:t>
            </w:r>
            <w:r>
              <w:rPr>
                <w:rFonts w:asciiTheme="minorHAnsi" w:hAnsiTheme="minorHAnsi" w:cs="Calibri"/>
                <w:szCs w:val="24"/>
              </w:rPr>
              <w:t>get kort varsel. Virksomhederne vil derfor ligge inde med varelagre, hvor der er betalt afgift efter afgi</w:t>
            </w:r>
            <w:r>
              <w:rPr>
                <w:rFonts w:asciiTheme="minorHAnsi" w:hAnsiTheme="minorHAnsi" w:cs="Calibri"/>
                <w:szCs w:val="24"/>
              </w:rPr>
              <w:t>f</w:t>
            </w:r>
            <w:r>
              <w:rPr>
                <w:rFonts w:asciiTheme="minorHAnsi" w:hAnsiTheme="minorHAnsi" w:cs="Calibri"/>
                <w:szCs w:val="24"/>
              </w:rPr>
              <w:t>tens afskaffelse.</w:t>
            </w:r>
          </w:p>
        </w:tc>
        <w:tc>
          <w:tcPr>
            <w:tcW w:w="3466" w:type="dxa"/>
          </w:tcPr>
          <w:p w:rsidR="00D45546" w:rsidRDefault="00D45546"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5E44B4">
            <w:pPr>
              <w:spacing w:after="60"/>
              <w:jc w:val="left"/>
              <w:rPr>
                <w:rFonts w:asciiTheme="minorHAnsi" w:hAnsiTheme="minorHAnsi" w:cs="Calibri"/>
                <w:szCs w:val="24"/>
              </w:rPr>
            </w:pPr>
          </w:p>
          <w:p w:rsidR="007D7D2E" w:rsidRDefault="007D7D2E" w:rsidP="007D7D2E">
            <w:pPr>
              <w:jc w:val="left"/>
              <w:rPr>
                <w:rFonts w:asciiTheme="minorHAnsi" w:hAnsiTheme="minorHAnsi" w:cs="Calibri"/>
                <w:szCs w:val="24"/>
              </w:rPr>
            </w:pPr>
            <w:r>
              <w:rPr>
                <w:rFonts w:asciiTheme="minorHAnsi" w:hAnsiTheme="minorHAnsi" w:cs="Calibri"/>
                <w:szCs w:val="24"/>
              </w:rPr>
              <w:t>Se kommentaren til Bryggerifo</w:t>
            </w:r>
            <w:r>
              <w:rPr>
                <w:rFonts w:asciiTheme="minorHAnsi" w:hAnsiTheme="minorHAnsi" w:cs="Calibri"/>
                <w:szCs w:val="24"/>
              </w:rPr>
              <w:t>r</w:t>
            </w:r>
            <w:r>
              <w:rPr>
                <w:rFonts w:asciiTheme="minorHAnsi" w:hAnsiTheme="minorHAnsi" w:cs="Calibri"/>
                <w:szCs w:val="24"/>
              </w:rPr>
              <w:t>eningen vedr. en godtgørelsesor</w:t>
            </w:r>
            <w:r>
              <w:rPr>
                <w:rFonts w:asciiTheme="minorHAnsi" w:hAnsiTheme="minorHAnsi" w:cs="Calibri"/>
                <w:szCs w:val="24"/>
              </w:rPr>
              <w:t>d</w:t>
            </w:r>
            <w:r>
              <w:rPr>
                <w:rFonts w:asciiTheme="minorHAnsi" w:hAnsiTheme="minorHAnsi" w:cs="Calibri"/>
                <w:szCs w:val="24"/>
              </w:rPr>
              <w:t>ning.</w:t>
            </w:r>
          </w:p>
          <w:p w:rsidR="007D7D2E" w:rsidRDefault="007D7D2E" w:rsidP="007D7D2E">
            <w:pPr>
              <w:jc w:val="left"/>
              <w:rPr>
                <w:rFonts w:asciiTheme="minorHAnsi" w:hAnsiTheme="minorHAnsi" w:cs="Calibri"/>
                <w:szCs w:val="24"/>
              </w:rPr>
            </w:pPr>
          </w:p>
          <w:p w:rsidR="007D7D2E" w:rsidRPr="0051644C" w:rsidRDefault="007D7D2E" w:rsidP="005E44B4">
            <w:pPr>
              <w:spacing w:after="60"/>
              <w:jc w:val="left"/>
              <w:rPr>
                <w:rFonts w:asciiTheme="minorHAnsi" w:hAnsiTheme="minorHAnsi" w:cs="Calibri"/>
                <w:szCs w:val="24"/>
              </w:rPr>
            </w:pPr>
          </w:p>
        </w:tc>
      </w:tr>
      <w:tr w:rsidR="00C66A7D" w:rsidRPr="0051644C" w:rsidTr="003F5DD2">
        <w:trPr>
          <w:trHeight w:val="343"/>
        </w:trPr>
        <w:tc>
          <w:tcPr>
            <w:tcW w:w="2836" w:type="dxa"/>
          </w:tcPr>
          <w:p w:rsidR="00C66A7D" w:rsidRDefault="00C66A7D" w:rsidP="005E44B4">
            <w:pPr>
              <w:spacing w:after="60"/>
              <w:jc w:val="left"/>
              <w:rPr>
                <w:rFonts w:asciiTheme="minorHAnsi" w:hAnsiTheme="minorHAnsi" w:cs="Calibri"/>
                <w:b/>
                <w:szCs w:val="24"/>
              </w:rPr>
            </w:pPr>
            <w:r>
              <w:rPr>
                <w:rFonts w:asciiTheme="minorHAnsi" w:hAnsiTheme="minorHAnsi" w:cs="Calibri"/>
                <w:b/>
                <w:szCs w:val="24"/>
              </w:rPr>
              <w:t>Det Økologiske Råd</w:t>
            </w:r>
          </w:p>
        </w:tc>
        <w:tc>
          <w:tcPr>
            <w:tcW w:w="3459" w:type="dxa"/>
          </w:tcPr>
          <w:p w:rsidR="00C66A7D" w:rsidRPr="008568F7" w:rsidRDefault="00C66A7D" w:rsidP="00D31F68">
            <w:pPr>
              <w:jc w:val="left"/>
              <w:rPr>
                <w:i/>
              </w:rPr>
            </w:pPr>
            <w:r w:rsidRPr="008568F7">
              <w:rPr>
                <w:i/>
              </w:rPr>
              <w:t>Energiafgifter</w:t>
            </w:r>
          </w:p>
          <w:p w:rsidR="00C66A7D" w:rsidRDefault="00C66A7D" w:rsidP="00D31F68">
            <w:pPr>
              <w:jc w:val="left"/>
            </w:pPr>
            <w:r>
              <w:t>Det Økologiske Råd bemærker, at EU’s kvotesystem aktuelt er brudt sammen. Det er derfor misvise</w:t>
            </w:r>
            <w:r>
              <w:t>n</w:t>
            </w:r>
            <w:r>
              <w:t>de, at det anføres i lovforslaget, at halvdelen af procesenergien er underlagt EU’s kvotesystem, hvi</w:t>
            </w:r>
            <w:r>
              <w:t>l</w:t>
            </w:r>
            <w:r>
              <w:t>ket bidrager til at sikre, at der ikke kommer øget CO2-udledninger.</w:t>
            </w:r>
          </w:p>
          <w:p w:rsidR="00C66A7D" w:rsidRDefault="00C66A7D" w:rsidP="00D31F68">
            <w:pPr>
              <w:jc w:val="left"/>
            </w:pPr>
          </w:p>
          <w:p w:rsidR="00C66A7D" w:rsidRPr="008568F7" w:rsidRDefault="00C66A7D" w:rsidP="00D31F68">
            <w:pPr>
              <w:jc w:val="left"/>
              <w:rPr>
                <w:i/>
              </w:rPr>
            </w:pPr>
            <w:r w:rsidRPr="008568F7">
              <w:rPr>
                <w:i/>
              </w:rPr>
              <w:t>Emballageafgift</w:t>
            </w:r>
          </w:p>
          <w:p w:rsidR="00C66A7D" w:rsidRDefault="00C66A7D" w:rsidP="00D31F68">
            <w:pPr>
              <w:jc w:val="left"/>
            </w:pPr>
            <w:r>
              <w:t>Det Økologiske Råd bemærker, at energiafgifterne på procesenergi fremover er så ubetydelige, at de ikke giver et incitament til at vælge bæredygtige løsninger. Derved vil der være miljømæssige konsekve</w:t>
            </w:r>
            <w:r>
              <w:t>n</w:t>
            </w:r>
            <w:r>
              <w:t>ser ved at afskaffe den vægtbas</w:t>
            </w:r>
            <w:r>
              <w:t>e</w:t>
            </w:r>
            <w:r>
              <w:t>rede emballageafgift.</w:t>
            </w:r>
          </w:p>
          <w:p w:rsidR="00C66A7D" w:rsidRDefault="00C66A7D" w:rsidP="00D31F68">
            <w:pPr>
              <w:jc w:val="left"/>
            </w:pPr>
          </w:p>
          <w:p w:rsidR="00C66A7D" w:rsidRPr="007333B4" w:rsidRDefault="00C66A7D" w:rsidP="00D31F68">
            <w:pPr>
              <w:jc w:val="left"/>
              <w:rPr>
                <w:i/>
              </w:rPr>
            </w:pPr>
            <w:r w:rsidRPr="007333B4">
              <w:rPr>
                <w:i/>
              </w:rPr>
              <w:t>Generelt</w:t>
            </w:r>
          </w:p>
          <w:p w:rsidR="00C66A7D" w:rsidRPr="008568F7" w:rsidRDefault="00C66A7D" w:rsidP="00D31F68">
            <w:pPr>
              <w:jc w:val="left"/>
            </w:pPr>
            <w:r>
              <w:t>Det Økologiske Råd efterlyser i lovbemærkningerne større ge</w:t>
            </w:r>
            <w:r>
              <w:t>n</w:t>
            </w:r>
            <w:r>
              <w:t>nemsigtighed i forhold til a</w:t>
            </w:r>
            <w:r>
              <w:t>d</w:t>
            </w:r>
            <w:r>
              <w:t>færdsberegningerne.</w:t>
            </w:r>
          </w:p>
        </w:tc>
        <w:tc>
          <w:tcPr>
            <w:tcW w:w="3466" w:type="dxa"/>
          </w:tcPr>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C66A7D">
            <w:pPr>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Energiafgifterne på procesenergi blev nedsat med </w:t>
            </w:r>
            <w:r w:rsidRPr="007333B4">
              <w:rPr>
                <w:rStyle w:val="Pladsholdertekst"/>
                <w:rFonts w:asciiTheme="minorHAnsi" w:hAnsiTheme="minorHAnsi" w:cs="Calibri"/>
                <w:i/>
                <w:color w:val="auto"/>
                <w:szCs w:val="24"/>
              </w:rPr>
              <w:t>Aftaler om Væks</w:t>
            </w:r>
            <w:r w:rsidRPr="007333B4">
              <w:rPr>
                <w:rStyle w:val="Pladsholdertekst"/>
                <w:rFonts w:asciiTheme="minorHAnsi" w:hAnsiTheme="minorHAnsi" w:cs="Calibri"/>
                <w:i/>
                <w:color w:val="auto"/>
                <w:szCs w:val="24"/>
              </w:rPr>
              <w:t>t</w:t>
            </w:r>
            <w:r w:rsidRPr="007333B4">
              <w:rPr>
                <w:rStyle w:val="Pladsholdertekst"/>
                <w:rFonts w:asciiTheme="minorHAnsi" w:hAnsiTheme="minorHAnsi" w:cs="Calibri"/>
                <w:i/>
                <w:color w:val="auto"/>
                <w:szCs w:val="24"/>
              </w:rPr>
              <w:t>plan DK</w:t>
            </w:r>
            <w:r>
              <w:rPr>
                <w:rStyle w:val="Pladsholdertekst"/>
                <w:rFonts w:asciiTheme="minorHAnsi" w:hAnsiTheme="minorHAnsi" w:cs="Calibri"/>
                <w:color w:val="auto"/>
                <w:szCs w:val="24"/>
              </w:rPr>
              <w:t xml:space="preserve">. </w:t>
            </w:r>
            <w:r w:rsidR="004F6C87">
              <w:rPr>
                <w:rStyle w:val="Pladsholdertekst"/>
                <w:rFonts w:asciiTheme="minorHAnsi" w:hAnsiTheme="minorHAnsi" w:cs="Calibri"/>
                <w:color w:val="auto"/>
                <w:szCs w:val="24"/>
              </w:rPr>
              <w:t xml:space="preserve">Disse aftaler </w:t>
            </w:r>
            <w:r>
              <w:rPr>
                <w:rStyle w:val="Pladsholdertekst"/>
                <w:rFonts w:asciiTheme="minorHAnsi" w:hAnsiTheme="minorHAnsi" w:cs="Calibri"/>
                <w:color w:val="auto"/>
                <w:szCs w:val="24"/>
              </w:rPr>
              <w:t xml:space="preserve">vedrører imidlertid ikke miljøafgifterne for svovl, </w:t>
            </w:r>
            <w:proofErr w:type="spellStart"/>
            <w:r>
              <w:rPr>
                <w:rStyle w:val="Pladsholdertekst"/>
                <w:rFonts w:asciiTheme="minorHAnsi" w:hAnsiTheme="minorHAnsi" w:cs="Calibri"/>
                <w:color w:val="auto"/>
                <w:szCs w:val="24"/>
              </w:rPr>
              <w:t>NOx</w:t>
            </w:r>
            <w:proofErr w:type="spellEnd"/>
            <w:r>
              <w:rPr>
                <w:rStyle w:val="Pladsholdertekst"/>
                <w:rFonts w:asciiTheme="minorHAnsi" w:hAnsiTheme="minorHAnsi" w:cs="Calibri"/>
                <w:color w:val="auto"/>
                <w:szCs w:val="24"/>
              </w:rPr>
              <w:t>, spildevand og affald. Derved vil der fortsat være regul</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ring heraf.</w:t>
            </w: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Default="00C66A7D" w:rsidP="005E44B4">
            <w:pPr>
              <w:spacing w:after="60"/>
              <w:jc w:val="left"/>
              <w:rPr>
                <w:rFonts w:asciiTheme="minorHAnsi" w:hAnsiTheme="minorHAnsi" w:cs="Calibri"/>
                <w:szCs w:val="24"/>
              </w:rPr>
            </w:pPr>
          </w:p>
          <w:p w:rsidR="00C66A7D" w:rsidRPr="0051644C" w:rsidRDefault="00C66A7D" w:rsidP="005E44B4">
            <w:pPr>
              <w:spacing w:after="60"/>
              <w:jc w:val="left"/>
              <w:rPr>
                <w:rFonts w:asciiTheme="minorHAnsi" w:hAnsiTheme="minorHAnsi" w:cs="Calibri"/>
                <w:szCs w:val="24"/>
              </w:rPr>
            </w:pPr>
          </w:p>
        </w:tc>
      </w:tr>
      <w:tr w:rsidR="00C66A7D" w:rsidRPr="0051644C" w:rsidTr="003F5DD2">
        <w:trPr>
          <w:trHeight w:val="343"/>
        </w:trPr>
        <w:tc>
          <w:tcPr>
            <w:tcW w:w="2836" w:type="dxa"/>
          </w:tcPr>
          <w:p w:rsidR="00C66A7D" w:rsidRPr="0051644C" w:rsidRDefault="00C66A7D" w:rsidP="005E44B4">
            <w:pPr>
              <w:spacing w:after="60"/>
              <w:jc w:val="left"/>
              <w:rPr>
                <w:rFonts w:asciiTheme="minorHAnsi" w:hAnsiTheme="minorHAnsi" w:cs="Calibri"/>
                <w:b/>
                <w:szCs w:val="24"/>
              </w:rPr>
            </w:pPr>
            <w:r>
              <w:rPr>
                <w:rFonts w:asciiTheme="minorHAnsi" w:hAnsiTheme="minorHAnsi" w:cs="Calibri"/>
                <w:b/>
                <w:szCs w:val="24"/>
              </w:rPr>
              <w:t>DI</w:t>
            </w:r>
          </w:p>
        </w:tc>
        <w:tc>
          <w:tcPr>
            <w:tcW w:w="3459" w:type="dxa"/>
          </w:tcPr>
          <w:p w:rsidR="00C66A7D" w:rsidRPr="0051644C" w:rsidRDefault="00C66A7D" w:rsidP="005E44B4">
            <w:pPr>
              <w:spacing w:after="60"/>
              <w:jc w:val="left"/>
              <w:rPr>
                <w:rFonts w:asciiTheme="minorHAnsi" w:hAnsiTheme="minorHAnsi" w:cs="Calibri"/>
                <w:szCs w:val="24"/>
              </w:rPr>
            </w:pPr>
            <w:r>
              <w:rPr>
                <w:rFonts w:asciiTheme="minorHAnsi" w:hAnsiTheme="minorHAnsi" w:cs="Calibri"/>
                <w:szCs w:val="24"/>
              </w:rPr>
              <w:t>Finder, at fremrykningen af de allerede vedtagne lempelser af belastende erhvervsskatter og a</w:t>
            </w:r>
            <w:r>
              <w:rPr>
                <w:rFonts w:asciiTheme="minorHAnsi" w:hAnsiTheme="minorHAnsi" w:cs="Calibri"/>
                <w:szCs w:val="24"/>
              </w:rPr>
              <w:t>f</w:t>
            </w:r>
            <w:r>
              <w:rPr>
                <w:rFonts w:asciiTheme="minorHAnsi" w:hAnsiTheme="minorHAnsi" w:cs="Calibri"/>
                <w:szCs w:val="24"/>
              </w:rPr>
              <w:t>gifter nu og her giver et ekstra løft til virksomhedernes konkurrenc</w:t>
            </w:r>
            <w:r>
              <w:rPr>
                <w:rFonts w:asciiTheme="minorHAnsi" w:hAnsiTheme="minorHAnsi" w:cs="Calibri"/>
                <w:szCs w:val="24"/>
              </w:rPr>
              <w:t>e</w:t>
            </w:r>
            <w:r>
              <w:rPr>
                <w:rFonts w:asciiTheme="minorHAnsi" w:hAnsiTheme="minorHAnsi" w:cs="Calibri"/>
                <w:szCs w:val="24"/>
              </w:rPr>
              <w:t>evne. Finder tilsvarende, at fre</w:t>
            </w:r>
            <w:r>
              <w:rPr>
                <w:rFonts w:asciiTheme="minorHAnsi" w:hAnsiTheme="minorHAnsi" w:cs="Calibri"/>
                <w:szCs w:val="24"/>
              </w:rPr>
              <w:t>m</w:t>
            </w:r>
            <w:r>
              <w:rPr>
                <w:rFonts w:asciiTheme="minorHAnsi" w:hAnsiTheme="minorHAnsi" w:cs="Calibri"/>
                <w:szCs w:val="24"/>
              </w:rPr>
              <w:t>rykningen af det højere beskæft</w:t>
            </w:r>
            <w:r>
              <w:rPr>
                <w:rFonts w:asciiTheme="minorHAnsi" w:hAnsiTheme="minorHAnsi" w:cs="Calibri"/>
                <w:szCs w:val="24"/>
              </w:rPr>
              <w:t>i</w:t>
            </w:r>
            <w:r>
              <w:rPr>
                <w:rFonts w:asciiTheme="minorHAnsi" w:hAnsiTheme="minorHAnsi" w:cs="Calibri"/>
                <w:szCs w:val="24"/>
              </w:rPr>
              <w:t>gelsesfradrag betyder, at det for flere kan betale sig at arbejde.</w:t>
            </w:r>
          </w:p>
        </w:tc>
        <w:tc>
          <w:tcPr>
            <w:tcW w:w="3466" w:type="dxa"/>
          </w:tcPr>
          <w:p w:rsidR="00C66A7D" w:rsidRPr="0051644C" w:rsidRDefault="00C66A7D" w:rsidP="005E44B4">
            <w:pPr>
              <w:spacing w:after="60"/>
              <w:jc w:val="left"/>
              <w:rPr>
                <w:rFonts w:asciiTheme="minorHAnsi" w:hAnsiTheme="minorHAnsi" w:cs="Calibri"/>
                <w:szCs w:val="24"/>
              </w:rPr>
            </w:pPr>
          </w:p>
        </w:tc>
      </w:tr>
      <w:tr w:rsidR="00C66A7D" w:rsidRPr="0051644C" w:rsidTr="003F5DD2">
        <w:trPr>
          <w:trHeight w:val="343"/>
        </w:trPr>
        <w:tc>
          <w:tcPr>
            <w:tcW w:w="2836" w:type="dxa"/>
          </w:tcPr>
          <w:p w:rsidR="00C66A7D" w:rsidRPr="0051644C"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DLF Dagligvarelevera</w:t>
            </w:r>
            <w:r>
              <w:rPr>
                <w:rStyle w:val="Pladsholdertekst"/>
                <w:rFonts w:asciiTheme="minorHAnsi" w:hAnsiTheme="minorHAnsi" w:cs="Calibri"/>
                <w:b/>
                <w:color w:val="auto"/>
                <w:szCs w:val="24"/>
              </w:rPr>
              <w:t>n</w:t>
            </w:r>
            <w:r>
              <w:rPr>
                <w:rStyle w:val="Pladsholdertekst"/>
                <w:rFonts w:asciiTheme="minorHAnsi" w:hAnsiTheme="minorHAnsi" w:cs="Calibri"/>
                <w:b/>
                <w:color w:val="auto"/>
                <w:szCs w:val="24"/>
              </w:rPr>
              <w:t>dørerne</w:t>
            </w:r>
          </w:p>
        </w:tc>
        <w:tc>
          <w:tcPr>
            <w:tcW w:w="3459" w:type="dxa"/>
          </w:tcPr>
          <w:p w:rsidR="00C66A7D" w:rsidRDefault="00C66A7D" w:rsidP="00E972F0">
            <w:pPr>
              <w:jc w:val="left"/>
              <w:rPr>
                <w:rFonts w:asciiTheme="minorHAnsi" w:hAnsiTheme="minorHAnsi" w:cs="Calibri"/>
                <w:szCs w:val="24"/>
              </w:rPr>
            </w:pPr>
            <w:r>
              <w:rPr>
                <w:rFonts w:asciiTheme="minorHAnsi" w:hAnsiTheme="minorHAnsi" w:cs="Calibri"/>
                <w:szCs w:val="24"/>
              </w:rPr>
              <w:t>DLF er generelt meget tilfredse med forslaget om fremrykning af afskaffelse af den vægtbaserede emballageafgift.</w:t>
            </w:r>
          </w:p>
          <w:p w:rsidR="00C66A7D" w:rsidRDefault="00C66A7D" w:rsidP="00E972F0">
            <w:pPr>
              <w:jc w:val="left"/>
              <w:rPr>
                <w:rFonts w:asciiTheme="minorHAnsi" w:hAnsiTheme="minorHAnsi" w:cs="Calibri"/>
                <w:szCs w:val="24"/>
              </w:rPr>
            </w:pPr>
          </w:p>
          <w:p w:rsidR="00C66A7D" w:rsidRDefault="00C66A7D" w:rsidP="000A268D">
            <w:pPr>
              <w:jc w:val="left"/>
              <w:rPr>
                <w:rFonts w:asciiTheme="minorHAnsi" w:hAnsiTheme="minorHAnsi" w:cs="Calibri"/>
                <w:szCs w:val="24"/>
              </w:rPr>
            </w:pPr>
            <w:r>
              <w:rPr>
                <w:rFonts w:asciiTheme="minorHAnsi" w:hAnsiTheme="minorHAnsi" w:cs="Calibri"/>
                <w:szCs w:val="24"/>
              </w:rPr>
              <w:t>DLF bemærker, at det bør præc</w:t>
            </w:r>
            <w:r>
              <w:rPr>
                <w:rFonts w:asciiTheme="minorHAnsi" w:hAnsiTheme="minorHAnsi" w:cs="Calibri"/>
                <w:szCs w:val="24"/>
              </w:rPr>
              <w:t>i</w:t>
            </w:r>
            <w:r>
              <w:rPr>
                <w:rFonts w:asciiTheme="minorHAnsi" w:hAnsiTheme="minorHAnsi" w:cs="Calibri"/>
                <w:szCs w:val="24"/>
              </w:rPr>
              <w:t>seres, hvordan virksomhederne er stillet, såfremt lovforslaget mod forventning ikke skulle blive ve</w:t>
            </w:r>
            <w:r>
              <w:rPr>
                <w:rFonts w:asciiTheme="minorHAnsi" w:hAnsiTheme="minorHAnsi" w:cs="Calibri"/>
                <w:szCs w:val="24"/>
              </w:rPr>
              <w:t>d</w:t>
            </w:r>
            <w:r>
              <w:rPr>
                <w:rFonts w:asciiTheme="minorHAnsi" w:hAnsiTheme="minorHAnsi" w:cs="Calibri"/>
                <w:szCs w:val="24"/>
              </w:rPr>
              <w:t>taget.</w:t>
            </w: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p>
          <w:p w:rsidR="00C66A7D" w:rsidRPr="0048126D" w:rsidRDefault="00C66A7D" w:rsidP="000A268D">
            <w:pPr>
              <w:jc w:val="left"/>
              <w:rPr>
                <w:rStyle w:val="Pladsholdertekst"/>
                <w:rFonts w:asciiTheme="minorHAnsi" w:hAnsiTheme="minorHAnsi" w:cs="Calibri"/>
                <w:color w:val="auto"/>
                <w:szCs w:val="24"/>
              </w:rPr>
            </w:pPr>
            <w:r>
              <w:rPr>
                <w:rFonts w:asciiTheme="minorHAnsi" w:hAnsiTheme="minorHAnsi" w:cs="Calibri"/>
                <w:szCs w:val="24"/>
              </w:rPr>
              <w:t>DLF foreslår, at der i bemærkni</w:t>
            </w:r>
            <w:r>
              <w:rPr>
                <w:rFonts w:asciiTheme="minorHAnsi" w:hAnsiTheme="minorHAnsi" w:cs="Calibri"/>
                <w:szCs w:val="24"/>
              </w:rPr>
              <w:t>n</w:t>
            </w:r>
            <w:r>
              <w:rPr>
                <w:rFonts w:asciiTheme="minorHAnsi" w:hAnsiTheme="minorHAnsi" w:cs="Calibri"/>
                <w:szCs w:val="24"/>
              </w:rPr>
              <w:t>gerne anføres, at afskaffelse af afgiften ikke i alle tilfælde overvæ</w:t>
            </w:r>
            <w:r>
              <w:rPr>
                <w:rFonts w:asciiTheme="minorHAnsi" w:hAnsiTheme="minorHAnsi" w:cs="Calibri"/>
                <w:szCs w:val="24"/>
              </w:rPr>
              <w:t>l</w:t>
            </w:r>
            <w:r>
              <w:rPr>
                <w:rFonts w:asciiTheme="minorHAnsi" w:hAnsiTheme="minorHAnsi" w:cs="Calibri"/>
                <w:szCs w:val="24"/>
              </w:rPr>
              <w:t>tes på forbrugerne. Afgiften kan også investeres i fx kampagner mv.</w:t>
            </w:r>
          </w:p>
        </w:tc>
        <w:tc>
          <w:tcPr>
            <w:tcW w:w="3466" w:type="dxa"/>
          </w:tcPr>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r w:rsidRPr="00DB38FD">
              <w:rPr>
                <w:rFonts w:asciiTheme="minorHAnsi" w:hAnsiTheme="minorHAnsi" w:cs="Calibri"/>
                <w:szCs w:val="24"/>
              </w:rPr>
              <w:t xml:space="preserve">Det følger af grundlovens § 22, </w:t>
            </w:r>
            <w:r>
              <w:rPr>
                <w:rFonts w:asciiTheme="minorHAnsi" w:hAnsiTheme="minorHAnsi" w:cs="Calibri"/>
                <w:szCs w:val="24"/>
              </w:rPr>
              <w:t xml:space="preserve">at </w:t>
            </w:r>
            <w:r w:rsidRPr="00DB38FD">
              <w:rPr>
                <w:rFonts w:asciiTheme="minorHAnsi" w:hAnsiTheme="minorHAnsi" w:cs="Calibri"/>
                <w:szCs w:val="24"/>
              </w:rPr>
              <w:t>en lov først kan håndhæves, når den er vedt</w:t>
            </w:r>
            <w:r>
              <w:rPr>
                <w:rFonts w:asciiTheme="minorHAnsi" w:hAnsiTheme="minorHAnsi" w:cs="Calibri"/>
                <w:szCs w:val="24"/>
              </w:rPr>
              <w:t xml:space="preserve">aget, stadfæstet og kundgjort. </w:t>
            </w:r>
            <w:r w:rsidRPr="00DB38FD">
              <w:rPr>
                <w:rFonts w:asciiTheme="minorHAnsi" w:hAnsiTheme="minorHAnsi" w:cs="Calibri"/>
                <w:szCs w:val="24"/>
              </w:rPr>
              <w:t>Indtil loven er vedtaget, stad</w:t>
            </w:r>
            <w:r>
              <w:rPr>
                <w:rFonts w:asciiTheme="minorHAnsi" w:hAnsiTheme="minorHAnsi" w:cs="Calibri"/>
                <w:szCs w:val="24"/>
              </w:rPr>
              <w:t>fæ</w:t>
            </w:r>
            <w:r w:rsidRPr="00DB38FD">
              <w:rPr>
                <w:rFonts w:asciiTheme="minorHAnsi" w:hAnsiTheme="minorHAnsi" w:cs="Calibri"/>
                <w:szCs w:val="24"/>
              </w:rPr>
              <w:t>stet og kundgjort</w:t>
            </w:r>
            <w:r>
              <w:rPr>
                <w:rFonts w:asciiTheme="minorHAnsi" w:hAnsiTheme="minorHAnsi" w:cs="Calibri"/>
                <w:szCs w:val="24"/>
              </w:rPr>
              <w:t>,</w:t>
            </w:r>
            <w:r w:rsidRPr="00DB38FD">
              <w:rPr>
                <w:rFonts w:asciiTheme="minorHAnsi" w:hAnsiTheme="minorHAnsi" w:cs="Calibri"/>
                <w:szCs w:val="24"/>
              </w:rPr>
              <w:t xml:space="preserve"> vil vir</w:t>
            </w:r>
            <w:r w:rsidRPr="00DB38FD">
              <w:rPr>
                <w:rFonts w:asciiTheme="minorHAnsi" w:hAnsiTheme="minorHAnsi" w:cs="Calibri"/>
                <w:szCs w:val="24"/>
              </w:rPr>
              <w:t>k</w:t>
            </w:r>
            <w:r w:rsidRPr="00DB38FD">
              <w:rPr>
                <w:rFonts w:asciiTheme="minorHAnsi" w:hAnsiTheme="minorHAnsi" w:cs="Calibri"/>
                <w:szCs w:val="24"/>
              </w:rPr>
              <w:t>som</w:t>
            </w:r>
            <w:r>
              <w:rPr>
                <w:rFonts w:asciiTheme="minorHAnsi" w:hAnsiTheme="minorHAnsi" w:cs="Calibri"/>
                <w:szCs w:val="24"/>
              </w:rPr>
              <w:t>he</w:t>
            </w:r>
            <w:r w:rsidRPr="00DB38FD">
              <w:rPr>
                <w:rFonts w:asciiTheme="minorHAnsi" w:hAnsiTheme="minorHAnsi" w:cs="Calibri"/>
                <w:szCs w:val="24"/>
              </w:rPr>
              <w:t>derne skulle agere i forhold til de gældende regler.</w:t>
            </w:r>
          </w:p>
          <w:p w:rsidR="00C66A7D" w:rsidRDefault="00C66A7D" w:rsidP="000A268D">
            <w:pPr>
              <w:jc w:val="left"/>
              <w:rPr>
                <w:rFonts w:asciiTheme="minorHAnsi" w:hAnsiTheme="minorHAnsi" w:cs="Calibri"/>
                <w:szCs w:val="24"/>
              </w:rPr>
            </w:pPr>
          </w:p>
          <w:p w:rsidR="00C66A7D" w:rsidRDefault="00C66A7D" w:rsidP="000A268D">
            <w:pPr>
              <w:jc w:val="left"/>
              <w:rPr>
                <w:rFonts w:asciiTheme="minorHAnsi" w:hAnsiTheme="minorHAnsi" w:cs="Calibri"/>
                <w:szCs w:val="24"/>
              </w:rPr>
            </w:pPr>
            <w:r>
              <w:rPr>
                <w:rFonts w:asciiTheme="minorHAnsi" w:hAnsiTheme="minorHAnsi" w:cs="Calibri"/>
                <w:szCs w:val="24"/>
              </w:rPr>
              <w:t>Som det fremgår af de almindelige bemærkninger, forventes det</w:t>
            </w:r>
            <w:r w:rsidRPr="002C6822">
              <w:rPr>
                <w:rFonts w:asciiTheme="minorHAnsi" w:hAnsiTheme="minorHAnsi" w:cs="Calibri"/>
                <w:szCs w:val="24"/>
              </w:rPr>
              <w:t>, at afgiften overvæltes fuldt ud, sål</w:t>
            </w:r>
            <w:r w:rsidRPr="002C6822">
              <w:rPr>
                <w:rFonts w:asciiTheme="minorHAnsi" w:hAnsiTheme="minorHAnsi" w:cs="Calibri"/>
                <w:szCs w:val="24"/>
              </w:rPr>
              <w:t>e</w:t>
            </w:r>
            <w:r w:rsidRPr="002C6822">
              <w:rPr>
                <w:rFonts w:asciiTheme="minorHAnsi" w:hAnsiTheme="minorHAnsi" w:cs="Calibri"/>
                <w:szCs w:val="24"/>
              </w:rPr>
              <w:t>des at priserne falder svarende til afgiften inkl. moms. Herved øges efterspørgslen og dermed vir</w:t>
            </w:r>
            <w:r w:rsidRPr="002C6822">
              <w:rPr>
                <w:rFonts w:asciiTheme="minorHAnsi" w:hAnsiTheme="minorHAnsi" w:cs="Calibri"/>
                <w:szCs w:val="24"/>
              </w:rPr>
              <w:t>k</w:t>
            </w:r>
            <w:r w:rsidRPr="002C6822">
              <w:rPr>
                <w:rFonts w:asciiTheme="minorHAnsi" w:hAnsiTheme="minorHAnsi" w:cs="Calibri"/>
                <w:szCs w:val="24"/>
              </w:rPr>
              <w:t>somhedernes omsætning.</w:t>
            </w:r>
          </w:p>
          <w:p w:rsidR="00C66A7D" w:rsidRPr="0051644C" w:rsidRDefault="00C66A7D" w:rsidP="000A268D">
            <w:pPr>
              <w:jc w:val="left"/>
              <w:rPr>
                <w:rStyle w:val="Pladsholdertekst"/>
                <w:rFonts w:asciiTheme="minorHAnsi" w:hAnsiTheme="minorHAnsi" w:cs="Calibri"/>
                <w:szCs w:val="24"/>
              </w:rPr>
            </w:pPr>
            <w:r>
              <w:rPr>
                <w:rFonts w:asciiTheme="minorHAnsi" w:hAnsiTheme="minorHAnsi" w:cs="Calibri"/>
                <w:szCs w:val="24"/>
              </w:rPr>
              <w:t>Det skal samtidig præciseres, at forholdet mellem de registrerede virksomheder, der nu ikke længere skal afregne afgiften overfor SKAT og detailledet, er af ren privatretlig karakter.  Skattemin</w:t>
            </w:r>
            <w:r>
              <w:rPr>
                <w:rFonts w:asciiTheme="minorHAnsi" w:hAnsiTheme="minorHAnsi" w:cs="Calibri"/>
                <w:szCs w:val="24"/>
              </w:rPr>
              <w:t>i</w:t>
            </w:r>
            <w:r>
              <w:rPr>
                <w:rFonts w:asciiTheme="minorHAnsi" w:hAnsiTheme="minorHAnsi" w:cs="Calibri"/>
                <w:szCs w:val="24"/>
              </w:rPr>
              <w:t>steriet kan derfor kun udtale sig om den forventede konsekvens af forslaget og ikke den konkrete udmøntning heraf, der sker me</w:t>
            </w:r>
            <w:r>
              <w:rPr>
                <w:rFonts w:asciiTheme="minorHAnsi" w:hAnsiTheme="minorHAnsi" w:cs="Calibri"/>
                <w:szCs w:val="24"/>
              </w:rPr>
              <w:t>l</w:t>
            </w:r>
            <w:r>
              <w:rPr>
                <w:rFonts w:asciiTheme="minorHAnsi" w:hAnsiTheme="minorHAnsi" w:cs="Calibri"/>
                <w:szCs w:val="24"/>
              </w:rPr>
              <w:t>lem to privatretlige parter.</w:t>
            </w:r>
          </w:p>
        </w:tc>
      </w:tr>
      <w:tr w:rsidR="00C66A7D" w:rsidRPr="0051644C" w:rsidTr="003F5DD2">
        <w:trPr>
          <w:trHeight w:val="343"/>
        </w:trPr>
        <w:tc>
          <w:tcPr>
            <w:tcW w:w="2836" w:type="dxa"/>
          </w:tcPr>
          <w:p w:rsidR="00C66A7D" w:rsidRPr="0051644C"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 xml:space="preserve">Energi- og Olieforum </w:t>
            </w:r>
          </w:p>
        </w:tc>
        <w:tc>
          <w:tcPr>
            <w:tcW w:w="3459" w:type="dxa"/>
          </w:tcPr>
          <w:p w:rsidR="00C66A7D" w:rsidRPr="00CE4D01" w:rsidRDefault="00C66A7D" w:rsidP="005E44B4">
            <w:pPr>
              <w:spacing w:after="60"/>
              <w:jc w:val="left"/>
              <w:rPr>
                <w:rStyle w:val="Pladsholdertekst"/>
                <w:rFonts w:asciiTheme="minorHAnsi" w:hAnsiTheme="minorHAnsi" w:cs="Calibri"/>
                <w:color w:val="auto"/>
                <w:szCs w:val="24"/>
              </w:rPr>
            </w:pPr>
            <w:r w:rsidRPr="00CE4D01">
              <w:rPr>
                <w:rStyle w:val="Pladsholdertekst"/>
                <w:rFonts w:asciiTheme="minorHAnsi" w:hAnsiTheme="minorHAnsi" w:cs="Calibri"/>
                <w:color w:val="auto"/>
                <w:szCs w:val="24"/>
              </w:rPr>
              <w:t>Hilser</w:t>
            </w:r>
            <w:r>
              <w:rPr>
                <w:rStyle w:val="Pladsholdertekst"/>
                <w:rFonts w:asciiTheme="minorHAnsi" w:hAnsiTheme="minorHAnsi" w:cs="Calibri"/>
                <w:color w:val="auto"/>
                <w:szCs w:val="24"/>
              </w:rPr>
              <w:t xml:space="preserve"> den foreslåede fremrykning af afskaffelsen af den vægtbaser</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de emballageafgift og reduktion af energiafgiften for brændsler til proces velkommen. Under foru</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sætning af, at afskaffelsen af e</w:t>
            </w:r>
            <w:r>
              <w:rPr>
                <w:rStyle w:val="Pladsholdertekst"/>
                <w:rFonts w:asciiTheme="minorHAnsi" w:hAnsiTheme="minorHAnsi" w:cs="Calibri"/>
                <w:color w:val="auto"/>
                <w:szCs w:val="24"/>
              </w:rPr>
              <w:t>m</w:t>
            </w:r>
            <w:r>
              <w:rPr>
                <w:rStyle w:val="Pladsholdertekst"/>
                <w:rFonts w:asciiTheme="minorHAnsi" w:hAnsiTheme="minorHAnsi" w:cs="Calibri"/>
                <w:color w:val="auto"/>
                <w:szCs w:val="24"/>
              </w:rPr>
              <w:t>ballageafgiften har virkning fra 1. januar 2014, har Energi- og Oli</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forum ikke yderligere komment</w:t>
            </w:r>
            <w:r>
              <w:rPr>
                <w:rStyle w:val="Pladsholdertekst"/>
                <w:rFonts w:asciiTheme="minorHAnsi" w:hAnsiTheme="minorHAnsi" w:cs="Calibri"/>
                <w:color w:val="auto"/>
                <w:szCs w:val="24"/>
              </w:rPr>
              <w:t>a</w:t>
            </w:r>
            <w:r>
              <w:rPr>
                <w:rStyle w:val="Pladsholdertekst"/>
                <w:rFonts w:asciiTheme="minorHAnsi" w:hAnsiTheme="minorHAnsi" w:cs="Calibri"/>
                <w:color w:val="auto"/>
                <w:szCs w:val="24"/>
              </w:rPr>
              <w:t xml:space="preserve">rer. </w:t>
            </w:r>
            <w:r w:rsidRPr="00CE4D01">
              <w:rPr>
                <w:rStyle w:val="Pladsholdertekst"/>
                <w:rFonts w:asciiTheme="minorHAnsi" w:hAnsiTheme="minorHAnsi" w:cs="Calibri"/>
                <w:color w:val="auto"/>
                <w:szCs w:val="24"/>
              </w:rPr>
              <w:t xml:space="preserve"> </w:t>
            </w:r>
          </w:p>
        </w:tc>
        <w:tc>
          <w:tcPr>
            <w:tcW w:w="3466" w:type="dxa"/>
          </w:tcPr>
          <w:p w:rsidR="00C66A7D" w:rsidRPr="0051644C" w:rsidRDefault="00C66A7D" w:rsidP="005E44B4">
            <w:pPr>
              <w:spacing w:after="60"/>
              <w:jc w:val="left"/>
              <w:rPr>
                <w:rStyle w:val="Pladsholdertekst"/>
                <w:rFonts w:asciiTheme="minorHAnsi" w:hAnsiTheme="minorHAnsi" w:cs="Calibri"/>
                <w:szCs w:val="24"/>
              </w:rPr>
            </w:pPr>
            <w:r>
              <w:rPr>
                <w:rFonts w:asciiTheme="minorHAnsi" w:hAnsiTheme="minorHAnsi" w:cs="Calibri"/>
                <w:szCs w:val="24"/>
              </w:rPr>
              <w:t xml:space="preserve">Den foreslåede afskaffelse af den vægtbaserede emballageafgift har virkning fra 1. januar 2014. </w:t>
            </w:r>
          </w:p>
        </w:tc>
      </w:tr>
      <w:tr w:rsidR="00C66A7D" w:rsidRPr="0051644C" w:rsidTr="003F5DD2">
        <w:trPr>
          <w:trHeight w:val="343"/>
        </w:trPr>
        <w:tc>
          <w:tcPr>
            <w:tcW w:w="2836" w:type="dxa"/>
          </w:tcPr>
          <w:p w:rsidR="00C66A7D" w:rsidRPr="0051644C"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Erhvervsstyrelsens Team Effektiv Regulering (TER)</w:t>
            </w:r>
          </w:p>
        </w:tc>
        <w:tc>
          <w:tcPr>
            <w:tcW w:w="3459" w:type="dxa"/>
          </w:tcPr>
          <w:p w:rsidR="00C66A7D" w:rsidRPr="003611B1" w:rsidRDefault="00C66A7D" w:rsidP="005E44B4">
            <w:pPr>
              <w:spacing w:after="60"/>
              <w:jc w:val="left"/>
              <w:rPr>
                <w:rStyle w:val="Pladsholdertekst"/>
                <w:rFonts w:asciiTheme="minorHAnsi" w:hAnsiTheme="minorHAnsi" w:cs="Calibri"/>
                <w:color w:val="auto"/>
                <w:szCs w:val="24"/>
              </w:rPr>
            </w:pPr>
            <w:r>
              <w:rPr>
                <w:color w:val="000000"/>
              </w:rPr>
              <w:t>Vurderer, at forslaget ikke ind</w:t>
            </w:r>
            <w:r>
              <w:rPr>
                <w:color w:val="000000"/>
              </w:rPr>
              <w:t>e</w:t>
            </w:r>
            <w:r>
              <w:rPr>
                <w:color w:val="000000"/>
              </w:rPr>
              <w:t>holder yderligere administrative konsekvenser for erhvervslivet.</w:t>
            </w:r>
          </w:p>
        </w:tc>
        <w:tc>
          <w:tcPr>
            <w:tcW w:w="3466" w:type="dxa"/>
          </w:tcPr>
          <w:p w:rsidR="00C66A7D" w:rsidRPr="0051644C" w:rsidRDefault="00C66A7D" w:rsidP="005E44B4">
            <w:pPr>
              <w:spacing w:after="60"/>
              <w:jc w:val="left"/>
              <w:rPr>
                <w:rStyle w:val="Pladsholdertekst"/>
                <w:rFonts w:asciiTheme="minorHAnsi" w:hAnsiTheme="minorHAnsi" w:cs="Calibri"/>
                <w:szCs w:val="24"/>
              </w:rPr>
            </w:pPr>
          </w:p>
        </w:tc>
      </w:tr>
      <w:tr w:rsidR="00C66A7D" w:rsidRPr="0051644C" w:rsidTr="003F5DD2">
        <w:trPr>
          <w:trHeight w:val="343"/>
        </w:trPr>
        <w:tc>
          <w:tcPr>
            <w:tcW w:w="2836" w:type="dxa"/>
          </w:tcPr>
          <w:p w:rsidR="00C66A7D" w:rsidRPr="0051644C"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Frie Funktionærer</w:t>
            </w:r>
          </w:p>
        </w:tc>
        <w:tc>
          <w:tcPr>
            <w:tcW w:w="3459" w:type="dxa"/>
          </w:tcPr>
          <w:p w:rsidR="00C66A7D" w:rsidRPr="00066BB4" w:rsidRDefault="00C66A7D" w:rsidP="005E44B4">
            <w:pPr>
              <w:spacing w:after="60"/>
              <w:jc w:val="left"/>
              <w:rPr>
                <w:rStyle w:val="Pladsholdertekst"/>
                <w:rFonts w:asciiTheme="minorHAnsi" w:hAnsiTheme="minorHAnsi" w:cs="Calibri"/>
                <w:szCs w:val="24"/>
              </w:rPr>
            </w:pPr>
            <w:r w:rsidRPr="00066BB4">
              <w:rPr>
                <w:szCs w:val="24"/>
              </w:rPr>
              <w:t>Er enig i, at der er behov for alle tiltag, der kan styrke beskæftige</w:t>
            </w:r>
            <w:r w:rsidRPr="00066BB4">
              <w:rPr>
                <w:szCs w:val="24"/>
              </w:rPr>
              <w:t>l</w:t>
            </w:r>
            <w:r w:rsidRPr="00066BB4">
              <w:rPr>
                <w:szCs w:val="24"/>
              </w:rPr>
              <w:t>sen og dermed gøre det lettere for de ledige at få nyt fodfæste på jobmarkedet. Derfor er det nø</w:t>
            </w:r>
            <w:r w:rsidRPr="00066BB4">
              <w:rPr>
                <w:szCs w:val="24"/>
              </w:rPr>
              <w:t>d</w:t>
            </w:r>
            <w:r w:rsidRPr="00066BB4">
              <w:rPr>
                <w:szCs w:val="24"/>
              </w:rPr>
              <w:t xml:space="preserve">vendigt, at forslaget følges </w:t>
            </w:r>
            <w:r>
              <w:rPr>
                <w:szCs w:val="24"/>
              </w:rPr>
              <w:t xml:space="preserve">op </w:t>
            </w:r>
            <w:r w:rsidRPr="00066BB4">
              <w:rPr>
                <w:szCs w:val="24"/>
              </w:rPr>
              <w:t>af andre tiltag, der understøtter den økonomiske vækst og dermed efterspørgslen efter arbejdskraft.</w:t>
            </w:r>
          </w:p>
        </w:tc>
        <w:tc>
          <w:tcPr>
            <w:tcW w:w="3466" w:type="dxa"/>
          </w:tcPr>
          <w:p w:rsidR="00C66A7D" w:rsidRPr="00066BB4" w:rsidRDefault="00C66A7D" w:rsidP="005E44B4">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Forslag</w:t>
            </w:r>
            <w:r w:rsidRPr="00066BB4">
              <w:rPr>
                <w:rStyle w:val="Pladsholdertekst"/>
                <w:rFonts w:asciiTheme="minorHAnsi" w:hAnsiTheme="minorHAnsi" w:cs="Calibri"/>
                <w:color w:val="auto"/>
                <w:szCs w:val="24"/>
              </w:rPr>
              <w:t xml:space="preserve"> om andre</w:t>
            </w:r>
            <w:r>
              <w:rPr>
                <w:rStyle w:val="Pladsholdertekst"/>
                <w:rFonts w:asciiTheme="minorHAnsi" w:hAnsiTheme="minorHAnsi" w:cs="Calibri"/>
                <w:color w:val="auto"/>
                <w:szCs w:val="24"/>
              </w:rPr>
              <w:t xml:space="preserve"> tiltag falder uden for rammerne af dette lo</w:t>
            </w:r>
            <w:r>
              <w:rPr>
                <w:rStyle w:val="Pladsholdertekst"/>
                <w:rFonts w:asciiTheme="minorHAnsi" w:hAnsiTheme="minorHAnsi" w:cs="Calibri"/>
                <w:color w:val="auto"/>
                <w:szCs w:val="24"/>
              </w:rPr>
              <w:t>v</w:t>
            </w:r>
            <w:r>
              <w:rPr>
                <w:rStyle w:val="Pladsholdertekst"/>
                <w:rFonts w:asciiTheme="minorHAnsi" w:hAnsiTheme="minorHAnsi" w:cs="Calibri"/>
                <w:color w:val="auto"/>
                <w:szCs w:val="24"/>
              </w:rPr>
              <w:t>forslag.</w:t>
            </w:r>
            <w:r w:rsidRPr="00066BB4">
              <w:rPr>
                <w:rStyle w:val="Pladsholdertekst"/>
                <w:rFonts w:asciiTheme="minorHAnsi" w:hAnsiTheme="minorHAnsi" w:cs="Calibri"/>
                <w:color w:val="auto"/>
                <w:szCs w:val="24"/>
              </w:rPr>
              <w:t xml:space="preserve"> </w:t>
            </w: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FSR – danske revisorer</w:t>
            </w:r>
          </w:p>
        </w:tc>
        <w:tc>
          <w:tcPr>
            <w:tcW w:w="3459" w:type="dxa"/>
          </w:tcPr>
          <w:p w:rsidR="00C66A7D" w:rsidRPr="00066BB4" w:rsidRDefault="00C66A7D" w:rsidP="005E44B4">
            <w:pPr>
              <w:spacing w:after="60"/>
              <w:jc w:val="left"/>
              <w:rPr>
                <w:szCs w:val="24"/>
              </w:rPr>
            </w:pPr>
            <w:r>
              <w:rPr>
                <w:szCs w:val="24"/>
              </w:rPr>
              <w:t>Har for nærværende ingen ko</w:t>
            </w:r>
            <w:r>
              <w:rPr>
                <w:szCs w:val="24"/>
              </w:rPr>
              <w:t>m</w:t>
            </w:r>
            <w:r>
              <w:rPr>
                <w:szCs w:val="24"/>
              </w:rPr>
              <w:t>mentarer til lovforslaget.</w:t>
            </w:r>
          </w:p>
        </w:tc>
        <w:tc>
          <w:tcPr>
            <w:tcW w:w="3466" w:type="dxa"/>
          </w:tcPr>
          <w:p w:rsidR="00C66A7D" w:rsidRPr="00066BB4" w:rsidRDefault="00C66A7D" w:rsidP="005E44B4">
            <w:pPr>
              <w:spacing w:after="60"/>
              <w:jc w:val="left"/>
              <w:rPr>
                <w:rStyle w:val="Pladsholdertekst"/>
                <w:rFonts w:asciiTheme="minorHAnsi" w:hAnsiTheme="minorHAnsi" w:cs="Calibri"/>
                <w:color w:val="auto"/>
                <w:szCs w:val="24"/>
              </w:rPr>
            </w:pP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FTF</w:t>
            </w:r>
          </w:p>
        </w:tc>
        <w:tc>
          <w:tcPr>
            <w:tcW w:w="3459" w:type="dxa"/>
          </w:tcPr>
          <w:p w:rsidR="00C66A7D" w:rsidRPr="00B77A92" w:rsidRDefault="00C66A7D" w:rsidP="005E44B4">
            <w:pPr>
              <w:pStyle w:val="Brdtekst"/>
              <w:spacing w:after="60" w:line="240" w:lineRule="auto"/>
              <w:rPr>
                <w:rFonts w:asciiTheme="minorHAnsi" w:hAnsiTheme="minorHAnsi"/>
                <w:sz w:val="24"/>
                <w:szCs w:val="24"/>
              </w:rPr>
            </w:pPr>
            <w:r w:rsidRPr="00B77A92">
              <w:rPr>
                <w:rFonts w:asciiTheme="minorHAnsi" w:hAnsiTheme="minorHAnsi"/>
                <w:sz w:val="24"/>
                <w:szCs w:val="24"/>
              </w:rPr>
              <w:t>FTF er positiv over</w:t>
            </w:r>
            <w:r>
              <w:rPr>
                <w:rFonts w:asciiTheme="minorHAnsi" w:hAnsiTheme="minorHAnsi"/>
                <w:sz w:val="24"/>
                <w:szCs w:val="24"/>
              </w:rPr>
              <w:t xml:space="preserve"> </w:t>
            </w:r>
            <w:r w:rsidRPr="00B77A92">
              <w:rPr>
                <w:rFonts w:asciiTheme="minorHAnsi" w:hAnsiTheme="minorHAnsi"/>
                <w:sz w:val="24"/>
                <w:szCs w:val="24"/>
              </w:rPr>
              <w:t>for</w:t>
            </w:r>
            <w:r>
              <w:rPr>
                <w:rFonts w:asciiTheme="minorHAnsi" w:hAnsiTheme="minorHAnsi"/>
                <w:sz w:val="24"/>
                <w:szCs w:val="24"/>
              </w:rPr>
              <w:t>,</w:t>
            </w:r>
            <w:r w:rsidRPr="00B77A92">
              <w:rPr>
                <w:rFonts w:asciiTheme="minorHAnsi" w:hAnsiTheme="minorHAnsi"/>
                <w:sz w:val="24"/>
                <w:szCs w:val="24"/>
              </w:rPr>
              <w:t xml:space="preserve"> at de ve</w:t>
            </w:r>
            <w:r w:rsidRPr="00B77A92">
              <w:rPr>
                <w:rFonts w:asciiTheme="minorHAnsi" w:hAnsiTheme="minorHAnsi"/>
                <w:sz w:val="24"/>
                <w:szCs w:val="24"/>
              </w:rPr>
              <w:t>d</w:t>
            </w:r>
            <w:r w:rsidRPr="00B77A92">
              <w:rPr>
                <w:rFonts w:asciiTheme="minorHAnsi" w:hAnsiTheme="minorHAnsi"/>
                <w:sz w:val="24"/>
                <w:szCs w:val="24"/>
              </w:rPr>
              <w:t>tagne skattelettelser fremrykkes, men havde gerne set, at der tillige var blevet lavet tiltag over</w:t>
            </w:r>
            <w:r>
              <w:rPr>
                <w:rFonts w:asciiTheme="minorHAnsi" w:hAnsiTheme="minorHAnsi"/>
                <w:sz w:val="24"/>
                <w:szCs w:val="24"/>
              </w:rPr>
              <w:t xml:space="preserve"> </w:t>
            </w:r>
            <w:r w:rsidRPr="00B77A92">
              <w:rPr>
                <w:rFonts w:asciiTheme="minorHAnsi" w:hAnsiTheme="minorHAnsi"/>
                <w:sz w:val="24"/>
                <w:szCs w:val="24"/>
              </w:rPr>
              <w:t>for den offentlige økonomi, især i ko</w:t>
            </w:r>
            <w:r w:rsidRPr="00B77A92">
              <w:rPr>
                <w:rFonts w:asciiTheme="minorHAnsi" w:hAnsiTheme="minorHAnsi"/>
                <w:sz w:val="24"/>
                <w:szCs w:val="24"/>
              </w:rPr>
              <w:t>m</w:t>
            </w:r>
            <w:r w:rsidRPr="00B77A92">
              <w:rPr>
                <w:rFonts w:asciiTheme="minorHAnsi" w:hAnsiTheme="minorHAnsi"/>
                <w:sz w:val="24"/>
                <w:szCs w:val="24"/>
              </w:rPr>
              <w:t>munerne, så de to foregående års underforbrug ikke gentages.</w:t>
            </w:r>
          </w:p>
          <w:p w:rsidR="00C66A7D" w:rsidRPr="0051644C" w:rsidRDefault="00C66A7D" w:rsidP="005E44B4">
            <w:pPr>
              <w:spacing w:after="60"/>
              <w:jc w:val="left"/>
              <w:rPr>
                <w:rStyle w:val="Pladsholdertekst"/>
                <w:rFonts w:asciiTheme="minorHAnsi" w:hAnsiTheme="minorHAnsi" w:cs="Calibri"/>
                <w:szCs w:val="24"/>
              </w:rPr>
            </w:pPr>
            <w:r>
              <w:rPr>
                <w:rFonts w:asciiTheme="minorHAnsi" w:hAnsiTheme="minorHAnsi" w:cs="Calibri"/>
                <w:szCs w:val="24"/>
              </w:rPr>
              <w:t>FTF bemærker endvidere, at e</w:t>
            </w:r>
            <w:r>
              <w:rPr>
                <w:rFonts w:asciiTheme="minorHAnsi" w:hAnsiTheme="minorHAnsi" w:cs="Calibri"/>
                <w:szCs w:val="24"/>
              </w:rPr>
              <w:t>f</w:t>
            </w:r>
            <w:r>
              <w:rPr>
                <w:rFonts w:asciiTheme="minorHAnsi" w:hAnsiTheme="minorHAnsi" w:cs="Calibri"/>
                <w:szCs w:val="24"/>
              </w:rPr>
              <w:t>fekten af det forhøjede beskæft</w:t>
            </w:r>
            <w:r>
              <w:rPr>
                <w:rFonts w:asciiTheme="minorHAnsi" w:hAnsiTheme="minorHAnsi" w:cs="Calibri"/>
                <w:szCs w:val="24"/>
              </w:rPr>
              <w:t>i</w:t>
            </w:r>
            <w:r>
              <w:rPr>
                <w:rFonts w:asciiTheme="minorHAnsi" w:hAnsiTheme="minorHAnsi" w:cs="Calibri"/>
                <w:szCs w:val="24"/>
              </w:rPr>
              <w:t>gelsesfradrag i 2014 nok er tviv</w:t>
            </w:r>
            <w:r>
              <w:rPr>
                <w:rFonts w:asciiTheme="minorHAnsi" w:hAnsiTheme="minorHAnsi" w:cs="Calibri"/>
                <w:szCs w:val="24"/>
              </w:rPr>
              <w:t>l</w:t>
            </w:r>
            <w:r>
              <w:rPr>
                <w:rFonts w:asciiTheme="minorHAnsi" w:hAnsiTheme="minorHAnsi" w:cs="Calibri"/>
                <w:szCs w:val="24"/>
              </w:rPr>
              <w:t>som, da der næppe er mange, der vil foretage ændringer i forskud</w:t>
            </w:r>
            <w:r>
              <w:rPr>
                <w:rFonts w:asciiTheme="minorHAnsi" w:hAnsiTheme="minorHAnsi" w:cs="Calibri"/>
                <w:szCs w:val="24"/>
              </w:rPr>
              <w:t>s</w:t>
            </w:r>
            <w:r>
              <w:rPr>
                <w:rFonts w:asciiTheme="minorHAnsi" w:hAnsiTheme="minorHAnsi" w:cs="Calibri"/>
                <w:szCs w:val="24"/>
              </w:rPr>
              <w:t>opgørelsen på grund af den ma</w:t>
            </w:r>
            <w:r>
              <w:rPr>
                <w:rFonts w:asciiTheme="minorHAnsi" w:hAnsiTheme="minorHAnsi" w:cs="Calibri"/>
                <w:szCs w:val="24"/>
              </w:rPr>
              <w:t>r</w:t>
            </w:r>
            <w:r>
              <w:rPr>
                <w:rFonts w:asciiTheme="minorHAnsi" w:hAnsiTheme="minorHAnsi" w:cs="Calibri"/>
                <w:szCs w:val="24"/>
              </w:rPr>
              <w:t>ginale ændring.</w:t>
            </w:r>
          </w:p>
        </w:tc>
        <w:tc>
          <w:tcPr>
            <w:tcW w:w="3466" w:type="dxa"/>
          </w:tcPr>
          <w:p w:rsidR="00C66A7D" w:rsidRDefault="00C66A7D" w:rsidP="005E44B4">
            <w:pPr>
              <w:spacing w:after="60"/>
              <w:jc w:val="left"/>
              <w:rPr>
                <w:rFonts w:asciiTheme="minorHAnsi" w:hAnsiTheme="minorHAnsi" w:cs="Calibri"/>
                <w:szCs w:val="24"/>
              </w:rPr>
            </w:pPr>
            <w:r>
              <w:rPr>
                <w:rFonts w:asciiTheme="minorHAnsi" w:hAnsiTheme="minorHAnsi" w:cs="Calibri"/>
                <w:szCs w:val="24"/>
              </w:rPr>
              <w:t>Forslag om andre tiltag falder uden for rammerne af dette lo</w:t>
            </w:r>
            <w:r>
              <w:rPr>
                <w:rFonts w:asciiTheme="minorHAnsi" w:hAnsiTheme="minorHAnsi" w:cs="Calibri"/>
                <w:szCs w:val="24"/>
              </w:rPr>
              <w:t>v</w:t>
            </w:r>
            <w:r>
              <w:rPr>
                <w:rFonts w:asciiTheme="minorHAnsi" w:hAnsiTheme="minorHAnsi" w:cs="Calibri"/>
                <w:szCs w:val="24"/>
              </w:rPr>
              <w:t>forslag.</w:t>
            </w:r>
          </w:p>
          <w:p w:rsidR="00C66A7D" w:rsidRDefault="00C66A7D" w:rsidP="005E44B4">
            <w:pPr>
              <w:spacing w:after="60"/>
              <w:jc w:val="left"/>
              <w:rPr>
                <w:rFonts w:asciiTheme="minorHAnsi" w:hAnsiTheme="minorHAnsi" w:cs="Calibri"/>
                <w:szCs w:val="24"/>
              </w:rPr>
            </w:pPr>
            <w:r>
              <w:rPr>
                <w:rFonts w:asciiTheme="minorHAnsi" w:hAnsiTheme="minorHAnsi" w:cs="Calibri"/>
                <w:szCs w:val="24"/>
              </w:rPr>
              <w:t xml:space="preserve">Efter ikrafttræden af loven vil der blive foretaget en ændring i </w:t>
            </w:r>
            <w:proofErr w:type="spellStart"/>
            <w:r>
              <w:rPr>
                <w:rFonts w:asciiTheme="minorHAnsi" w:hAnsiTheme="minorHAnsi" w:cs="Calibri"/>
                <w:szCs w:val="24"/>
              </w:rPr>
              <w:t>SKATs</w:t>
            </w:r>
            <w:proofErr w:type="spellEnd"/>
            <w:r>
              <w:rPr>
                <w:rFonts w:asciiTheme="minorHAnsi" w:hAnsiTheme="minorHAnsi" w:cs="Calibri"/>
                <w:szCs w:val="24"/>
              </w:rPr>
              <w:t xml:space="preserve"> forskudsændringssystem, der gør, at dem, der får ændret deres forskudsopgørelse i den restende del af 2014, vil få indre</w:t>
            </w:r>
            <w:r>
              <w:rPr>
                <w:rFonts w:asciiTheme="minorHAnsi" w:hAnsiTheme="minorHAnsi" w:cs="Calibri"/>
                <w:szCs w:val="24"/>
              </w:rPr>
              <w:t>g</w:t>
            </w:r>
            <w:r>
              <w:rPr>
                <w:rFonts w:asciiTheme="minorHAnsi" w:hAnsiTheme="minorHAnsi" w:cs="Calibri"/>
                <w:szCs w:val="24"/>
              </w:rPr>
              <w:t>net det forhøjede beskæftigelse</w:t>
            </w:r>
            <w:r>
              <w:rPr>
                <w:rFonts w:asciiTheme="minorHAnsi" w:hAnsiTheme="minorHAnsi" w:cs="Calibri"/>
                <w:szCs w:val="24"/>
              </w:rPr>
              <w:t>s</w:t>
            </w:r>
            <w:r>
              <w:rPr>
                <w:rFonts w:asciiTheme="minorHAnsi" w:hAnsiTheme="minorHAnsi" w:cs="Calibri"/>
                <w:szCs w:val="24"/>
              </w:rPr>
              <w:t xml:space="preserve">fradrag. </w:t>
            </w:r>
          </w:p>
          <w:p w:rsidR="00C66A7D" w:rsidRPr="0051644C" w:rsidRDefault="00C66A7D" w:rsidP="005E44B4">
            <w:pPr>
              <w:spacing w:after="60"/>
              <w:jc w:val="left"/>
              <w:rPr>
                <w:rStyle w:val="Pladsholdertekst"/>
                <w:rFonts w:asciiTheme="minorHAnsi" w:hAnsiTheme="minorHAnsi" w:cs="Calibri"/>
                <w:szCs w:val="24"/>
              </w:rPr>
            </w:pPr>
            <w:r>
              <w:rPr>
                <w:rFonts w:asciiTheme="minorHAnsi" w:hAnsiTheme="minorHAnsi" w:cs="Calibri"/>
                <w:szCs w:val="24"/>
              </w:rPr>
              <w:t>Dette vil således også gælde, når forskudsopgørelsen bliver ændret af andre grunde end for at få det forhøjede beskæftigelsesfradrag, fx hvis SKAT ændrer i forskudso</w:t>
            </w:r>
            <w:r>
              <w:rPr>
                <w:rFonts w:asciiTheme="minorHAnsi" w:hAnsiTheme="minorHAnsi" w:cs="Calibri"/>
                <w:szCs w:val="24"/>
              </w:rPr>
              <w:t>p</w:t>
            </w:r>
            <w:r>
              <w:rPr>
                <w:rFonts w:asciiTheme="minorHAnsi" w:hAnsiTheme="minorHAnsi" w:cs="Calibri"/>
                <w:szCs w:val="24"/>
              </w:rPr>
              <w:t xml:space="preserve">gørelsen som led i </w:t>
            </w:r>
            <w:proofErr w:type="spellStart"/>
            <w:r>
              <w:rPr>
                <w:rFonts w:asciiTheme="minorHAnsi" w:hAnsiTheme="minorHAnsi" w:cs="Calibri"/>
                <w:szCs w:val="24"/>
              </w:rPr>
              <w:t>AutoForskud</w:t>
            </w:r>
            <w:proofErr w:type="spellEnd"/>
            <w:r>
              <w:rPr>
                <w:rFonts w:asciiTheme="minorHAnsi" w:hAnsiTheme="minorHAnsi" w:cs="Calibri"/>
                <w:szCs w:val="24"/>
              </w:rPr>
              <w:t>, og det skønnes derfor, at op imod 60 pct. vil få gavn af det forhøjede beskæftigelsesfradrag i 2014.</w:t>
            </w: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Håndværksrådet</w:t>
            </w:r>
          </w:p>
        </w:tc>
        <w:tc>
          <w:tcPr>
            <w:tcW w:w="3459" w:type="dxa"/>
          </w:tcPr>
          <w:p w:rsidR="00C66A7D" w:rsidRPr="007064F2" w:rsidRDefault="00C66A7D" w:rsidP="005E44B4">
            <w:pPr>
              <w:autoSpaceDE w:val="0"/>
              <w:autoSpaceDN w:val="0"/>
              <w:adjustRightInd w:val="0"/>
              <w:spacing w:after="60"/>
              <w:jc w:val="left"/>
              <w:rPr>
                <w:rFonts w:asciiTheme="minorHAnsi" w:hAnsiTheme="minorHAnsi"/>
                <w:szCs w:val="24"/>
              </w:rPr>
            </w:pPr>
            <w:r w:rsidRPr="007064F2">
              <w:rPr>
                <w:rFonts w:asciiTheme="minorHAnsi" w:hAnsiTheme="minorHAnsi"/>
                <w:szCs w:val="24"/>
              </w:rPr>
              <w:t xml:space="preserve">Hilser fremrykning af </w:t>
            </w:r>
            <w:r w:rsidRPr="007064F2">
              <w:rPr>
                <w:rFonts w:asciiTheme="minorHAnsi" w:hAnsiTheme="minorHAnsi" w:cs="Arial"/>
                <w:szCs w:val="24"/>
              </w:rPr>
              <w:t>skatte</w:t>
            </w:r>
            <w:r>
              <w:rPr>
                <w:rFonts w:asciiTheme="minorHAnsi" w:hAnsiTheme="minorHAnsi" w:cs="Arial"/>
                <w:szCs w:val="24"/>
              </w:rPr>
              <w:t>-</w:t>
            </w:r>
            <w:r w:rsidRPr="007064F2">
              <w:rPr>
                <w:rFonts w:asciiTheme="minorHAnsi" w:hAnsiTheme="minorHAnsi" w:cs="Arial"/>
                <w:szCs w:val="24"/>
              </w:rPr>
              <w:t xml:space="preserve"> og afgiftslettelser og forhøjelse af beskæftigelsesfradrag mv. ve</w:t>
            </w:r>
            <w:r w:rsidRPr="007064F2">
              <w:rPr>
                <w:rFonts w:asciiTheme="minorHAnsi" w:hAnsiTheme="minorHAnsi" w:cs="Arial"/>
                <w:szCs w:val="24"/>
              </w:rPr>
              <w:t>l</w:t>
            </w:r>
            <w:r w:rsidRPr="007064F2">
              <w:rPr>
                <w:rFonts w:asciiTheme="minorHAnsi" w:hAnsiTheme="minorHAnsi" w:cs="Arial"/>
                <w:szCs w:val="24"/>
              </w:rPr>
              <w:t>komment.</w:t>
            </w:r>
            <w:r>
              <w:rPr>
                <w:rFonts w:asciiTheme="minorHAnsi" w:hAnsiTheme="minorHAnsi" w:cs="Arial"/>
                <w:szCs w:val="24"/>
              </w:rPr>
              <w:t xml:space="preserve"> Finder dog, at der</w:t>
            </w:r>
            <w:r w:rsidRPr="007064F2">
              <w:rPr>
                <w:rFonts w:asciiTheme="minorHAnsi" w:hAnsiTheme="minorHAnsi" w:cs="Arial"/>
                <w:szCs w:val="24"/>
              </w:rPr>
              <w:t xml:space="preserve"> i forhold til den samlede udfordring mht. kredit også</w:t>
            </w:r>
            <w:r>
              <w:rPr>
                <w:rFonts w:asciiTheme="minorHAnsi" w:hAnsiTheme="minorHAnsi" w:cs="Arial"/>
                <w:szCs w:val="24"/>
              </w:rPr>
              <w:t xml:space="preserve"> er</w:t>
            </w:r>
            <w:r w:rsidRPr="007064F2">
              <w:rPr>
                <w:rFonts w:asciiTheme="minorHAnsi" w:hAnsiTheme="minorHAnsi" w:cs="Arial"/>
                <w:szCs w:val="24"/>
              </w:rPr>
              <w:t xml:space="preserve"> brug for, at de statslige</w:t>
            </w:r>
            <w:r>
              <w:rPr>
                <w:rFonts w:asciiTheme="minorHAnsi" w:hAnsiTheme="minorHAnsi" w:cs="Arial"/>
                <w:szCs w:val="24"/>
              </w:rPr>
              <w:t xml:space="preserve"> </w:t>
            </w:r>
            <w:r w:rsidRPr="007064F2">
              <w:rPr>
                <w:rFonts w:asciiTheme="minorHAnsi" w:hAnsiTheme="minorHAnsi" w:cs="Arial"/>
                <w:szCs w:val="24"/>
              </w:rPr>
              <w:t>lånefonde som Vækstfo</w:t>
            </w:r>
            <w:r w:rsidRPr="007064F2">
              <w:rPr>
                <w:rFonts w:asciiTheme="minorHAnsi" w:hAnsiTheme="minorHAnsi" w:cs="Arial"/>
                <w:szCs w:val="24"/>
              </w:rPr>
              <w:t>n</w:t>
            </w:r>
            <w:r w:rsidRPr="007064F2">
              <w:rPr>
                <w:rFonts w:asciiTheme="minorHAnsi" w:hAnsiTheme="minorHAnsi" w:cs="Arial"/>
                <w:szCs w:val="24"/>
              </w:rPr>
              <w:t>den og EKF får tilført endnu flere muskler.</w:t>
            </w:r>
          </w:p>
        </w:tc>
        <w:tc>
          <w:tcPr>
            <w:tcW w:w="3466" w:type="dxa"/>
          </w:tcPr>
          <w:p w:rsidR="00C66A7D" w:rsidRDefault="00C66A7D" w:rsidP="005E44B4">
            <w:pPr>
              <w:spacing w:after="60"/>
              <w:jc w:val="left"/>
              <w:rPr>
                <w:rFonts w:asciiTheme="minorHAnsi" w:hAnsiTheme="minorHAnsi" w:cs="Calibri"/>
                <w:szCs w:val="24"/>
              </w:rPr>
            </w:pPr>
            <w:r>
              <w:rPr>
                <w:rFonts w:asciiTheme="minorHAnsi" w:hAnsiTheme="minorHAnsi" w:cs="Calibri"/>
                <w:szCs w:val="24"/>
              </w:rPr>
              <w:t>Forslag om andre tiltag falder uden for rammerne af dette lo</w:t>
            </w:r>
            <w:r>
              <w:rPr>
                <w:rFonts w:asciiTheme="minorHAnsi" w:hAnsiTheme="minorHAnsi" w:cs="Calibri"/>
                <w:szCs w:val="24"/>
              </w:rPr>
              <w:t>v</w:t>
            </w:r>
            <w:r>
              <w:rPr>
                <w:rFonts w:asciiTheme="minorHAnsi" w:hAnsiTheme="minorHAnsi" w:cs="Calibri"/>
                <w:szCs w:val="24"/>
              </w:rPr>
              <w:t>forslag.</w:t>
            </w: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KL</w:t>
            </w:r>
          </w:p>
        </w:tc>
        <w:tc>
          <w:tcPr>
            <w:tcW w:w="3459" w:type="dxa"/>
          </w:tcPr>
          <w:p w:rsidR="00C66A7D" w:rsidRDefault="00C66A7D" w:rsidP="005E44B4">
            <w:pPr>
              <w:spacing w:after="60"/>
              <w:jc w:val="left"/>
            </w:pPr>
            <w:r>
              <w:t>KL beklager, at Skatteministeriet endnu en gang giver en ganske kort frist for bemærkninger til et lovforslag.</w:t>
            </w:r>
          </w:p>
          <w:p w:rsidR="00C66A7D" w:rsidRDefault="00C66A7D" w:rsidP="005E44B4">
            <w:pPr>
              <w:spacing w:after="60"/>
              <w:jc w:val="left"/>
            </w:pPr>
            <w:r>
              <w:t>KL kvitterer for, at Skatteminist</w:t>
            </w:r>
            <w:r>
              <w:t>e</w:t>
            </w:r>
            <w:r>
              <w:t>riet allerede i lovforslaget har a</w:t>
            </w:r>
            <w:r>
              <w:t>n</w:t>
            </w:r>
            <w:r>
              <w:t>givet, hvordan man agter at ne</w:t>
            </w:r>
            <w:r>
              <w:t>u</w:t>
            </w:r>
            <w:r>
              <w:t>tralisere virkningen af lovforslaget i efterreguleringen af de selvbu</w:t>
            </w:r>
            <w:r>
              <w:t>d</w:t>
            </w:r>
            <w:r>
              <w:t>getterende kommuner.</w:t>
            </w:r>
          </w:p>
          <w:p w:rsidR="00C66A7D" w:rsidRPr="007064F2" w:rsidRDefault="00C66A7D" w:rsidP="005E44B4">
            <w:pPr>
              <w:spacing w:after="60"/>
              <w:jc w:val="left"/>
              <w:rPr>
                <w:rFonts w:asciiTheme="minorHAnsi" w:hAnsiTheme="minorHAnsi"/>
                <w:szCs w:val="24"/>
              </w:rPr>
            </w:pPr>
            <w:r>
              <w:t>KL bemærker desuden, at den fordelingsmæssige effekt af lo</w:t>
            </w:r>
            <w:r>
              <w:t>v</w:t>
            </w:r>
            <w:r>
              <w:t>forslaget kommunerne imellem må forudsættes at være begrænset.</w:t>
            </w:r>
          </w:p>
        </w:tc>
        <w:tc>
          <w:tcPr>
            <w:tcW w:w="3466" w:type="dxa"/>
          </w:tcPr>
          <w:p w:rsidR="00C66A7D" w:rsidRDefault="00C66A7D" w:rsidP="005E44B4">
            <w:pPr>
              <w:autoSpaceDE w:val="0"/>
              <w:autoSpaceDN w:val="0"/>
              <w:adjustRightInd w:val="0"/>
              <w:spacing w:after="60"/>
              <w:jc w:val="left"/>
              <w:rPr>
                <w:rFonts w:asciiTheme="minorHAnsi" w:hAnsiTheme="minorHAnsi" w:cs="Calibri"/>
                <w:szCs w:val="24"/>
              </w:rPr>
            </w:pPr>
            <w:r w:rsidRPr="00C12B12">
              <w:rPr>
                <w:rFonts w:asciiTheme="minorHAnsi" w:hAnsiTheme="minorHAnsi" w:cs="Calibri"/>
                <w:szCs w:val="24"/>
              </w:rPr>
              <w:t>Høringsfristen er fastsat på ba</w:t>
            </w:r>
            <w:r w:rsidRPr="00C12B12">
              <w:rPr>
                <w:rFonts w:asciiTheme="minorHAnsi" w:hAnsiTheme="minorHAnsi" w:cs="Calibri"/>
                <w:szCs w:val="24"/>
              </w:rPr>
              <w:t>g</w:t>
            </w:r>
            <w:r w:rsidRPr="00C12B12">
              <w:rPr>
                <w:rFonts w:asciiTheme="minorHAnsi" w:hAnsiTheme="minorHAnsi" w:cs="Calibri"/>
                <w:szCs w:val="24"/>
              </w:rPr>
              <w:t>grund</w:t>
            </w:r>
            <w:r>
              <w:rPr>
                <w:rFonts w:asciiTheme="minorHAnsi" w:hAnsiTheme="minorHAnsi" w:cs="Calibri"/>
                <w:szCs w:val="24"/>
              </w:rPr>
              <w:t xml:space="preserve"> </w:t>
            </w:r>
            <w:r w:rsidRPr="00C12B12">
              <w:rPr>
                <w:rFonts w:asciiTheme="minorHAnsi" w:hAnsiTheme="minorHAnsi" w:cs="Calibri"/>
                <w:szCs w:val="24"/>
              </w:rPr>
              <w:t xml:space="preserve">af en </w:t>
            </w:r>
            <w:proofErr w:type="gramStart"/>
            <w:r w:rsidRPr="00C12B12">
              <w:rPr>
                <w:rFonts w:asciiTheme="minorHAnsi" w:hAnsiTheme="minorHAnsi" w:cs="Calibri"/>
                <w:szCs w:val="24"/>
              </w:rPr>
              <w:t>tidspresset</w:t>
            </w:r>
            <w:proofErr w:type="gramEnd"/>
            <w:r w:rsidRPr="00C12B12">
              <w:rPr>
                <w:rFonts w:asciiTheme="minorHAnsi" w:hAnsiTheme="minorHAnsi" w:cs="Calibri"/>
                <w:szCs w:val="24"/>
              </w:rPr>
              <w:t xml:space="preserve"> proces</w:t>
            </w:r>
            <w:r>
              <w:rPr>
                <w:rFonts w:asciiTheme="minorHAnsi" w:hAnsiTheme="minorHAnsi" w:cs="Calibri"/>
                <w:szCs w:val="24"/>
              </w:rPr>
              <w:t xml:space="preserve"> på grund af det sene tidspunkt for indgåelse af finanslovaftalen for 2014</w:t>
            </w:r>
            <w:r w:rsidRPr="00C12B12">
              <w:rPr>
                <w:rFonts w:asciiTheme="minorHAnsi" w:hAnsiTheme="minorHAnsi" w:cs="Calibri"/>
                <w:szCs w:val="24"/>
              </w:rPr>
              <w:t xml:space="preserve">, </w:t>
            </w:r>
            <w:r>
              <w:rPr>
                <w:rFonts w:asciiTheme="minorHAnsi" w:hAnsiTheme="minorHAnsi" w:cs="Calibri"/>
                <w:szCs w:val="24"/>
              </w:rPr>
              <w:t xml:space="preserve">idet </w:t>
            </w:r>
            <w:r w:rsidRPr="00C12B12">
              <w:rPr>
                <w:rFonts w:asciiTheme="minorHAnsi" w:hAnsiTheme="minorHAnsi" w:cs="Calibri"/>
                <w:szCs w:val="24"/>
              </w:rPr>
              <w:t xml:space="preserve">lovforslaget har skullet fremsættes </w:t>
            </w:r>
            <w:r>
              <w:rPr>
                <w:rFonts w:asciiTheme="minorHAnsi" w:hAnsiTheme="minorHAnsi" w:cs="Calibri"/>
                <w:szCs w:val="24"/>
              </w:rPr>
              <w:t>før jul.</w:t>
            </w:r>
          </w:p>
          <w:p w:rsidR="00C66A7D" w:rsidRDefault="00C66A7D" w:rsidP="005E44B4">
            <w:pPr>
              <w:autoSpaceDE w:val="0"/>
              <w:autoSpaceDN w:val="0"/>
              <w:adjustRightInd w:val="0"/>
              <w:spacing w:after="60"/>
              <w:jc w:val="left"/>
              <w:rPr>
                <w:rFonts w:asciiTheme="minorHAnsi" w:hAnsiTheme="minorHAnsi" w:cs="Calibri"/>
                <w:szCs w:val="24"/>
              </w:rPr>
            </w:pPr>
            <w:r w:rsidRPr="006C2D85">
              <w:rPr>
                <w:rFonts w:asciiTheme="minorHAnsi" w:hAnsiTheme="minorHAnsi" w:cs="Calibri"/>
                <w:szCs w:val="24"/>
              </w:rPr>
              <w:t>Ved fastsættelsen af høringsfristen</w:t>
            </w:r>
            <w:r>
              <w:rPr>
                <w:rFonts w:asciiTheme="minorHAnsi" w:hAnsiTheme="minorHAnsi" w:cs="Calibri"/>
                <w:szCs w:val="24"/>
              </w:rPr>
              <w:t xml:space="preserve"> </w:t>
            </w:r>
            <w:r w:rsidRPr="006C2D85">
              <w:rPr>
                <w:rFonts w:asciiTheme="minorHAnsi" w:hAnsiTheme="minorHAnsi" w:cs="Calibri"/>
                <w:szCs w:val="24"/>
              </w:rPr>
              <w:t>er der således sket en afvejning af</w:t>
            </w:r>
            <w:r>
              <w:rPr>
                <w:rFonts w:asciiTheme="minorHAnsi" w:hAnsiTheme="minorHAnsi" w:cs="Calibri"/>
                <w:szCs w:val="24"/>
              </w:rPr>
              <w:t xml:space="preserve"> </w:t>
            </w:r>
            <w:r w:rsidRPr="006C2D85">
              <w:rPr>
                <w:rFonts w:asciiTheme="minorHAnsi" w:hAnsiTheme="minorHAnsi" w:cs="Calibri"/>
                <w:szCs w:val="24"/>
              </w:rPr>
              <w:t>en række modsatrettede hensyn,</w:t>
            </w:r>
            <w:r>
              <w:rPr>
                <w:rFonts w:asciiTheme="minorHAnsi" w:hAnsiTheme="minorHAnsi" w:cs="Calibri"/>
                <w:szCs w:val="24"/>
              </w:rPr>
              <w:t xml:space="preserve"> </w:t>
            </w:r>
            <w:r w:rsidRPr="006C2D85">
              <w:rPr>
                <w:rFonts w:asciiTheme="minorHAnsi" w:hAnsiTheme="minorHAnsi" w:cs="Calibri"/>
                <w:szCs w:val="24"/>
              </w:rPr>
              <w:t>herunder hensynet til høringspa</w:t>
            </w:r>
            <w:r w:rsidRPr="006C2D85">
              <w:rPr>
                <w:rFonts w:asciiTheme="minorHAnsi" w:hAnsiTheme="minorHAnsi" w:cs="Calibri"/>
                <w:szCs w:val="24"/>
              </w:rPr>
              <w:t>r</w:t>
            </w:r>
            <w:r w:rsidRPr="006C2D85">
              <w:rPr>
                <w:rFonts w:asciiTheme="minorHAnsi" w:hAnsiTheme="minorHAnsi" w:cs="Calibri"/>
                <w:szCs w:val="24"/>
              </w:rPr>
              <w:t>terne, hensynet til at undergive høringssvarene en seriøs overv</w:t>
            </w:r>
            <w:r w:rsidRPr="006C2D85">
              <w:rPr>
                <w:rFonts w:asciiTheme="minorHAnsi" w:hAnsiTheme="minorHAnsi" w:cs="Calibri"/>
                <w:szCs w:val="24"/>
              </w:rPr>
              <w:t>e</w:t>
            </w:r>
            <w:r w:rsidRPr="006C2D85">
              <w:rPr>
                <w:rFonts w:asciiTheme="minorHAnsi" w:hAnsiTheme="minorHAnsi" w:cs="Calibri"/>
                <w:szCs w:val="24"/>
              </w:rPr>
              <w:t>jelse og kommentering i Skattem</w:t>
            </w:r>
            <w:r w:rsidRPr="006C2D85">
              <w:rPr>
                <w:rFonts w:asciiTheme="minorHAnsi" w:hAnsiTheme="minorHAnsi" w:cs="Calibri"/>
                <w:szCs w:val="24"/>
              </w:rPr>
              <w:t>i</w:t>
            </w:r>
            <w:r w:rsidRPr="006C2D85">
              <w:rPr>
                <w:rFonts w:asciiTheme="minorHAnsi" w:hAnsiTheme="minorHAnsi" w:cs="Calibri"/>
                <w:szCs w:val="24"/>
              </w:rPr>
              <w:t>nisteriet og hensynet til en orden</w:t>
            </w:r>
            <w:r w:rsidRPr="006C2D85">
              <w:rPr>
                <w:rFonts w:asciiTheme="minorHAnsi" w:hAnsiTheme="minorHAnsi" w:cs="Calibri"/>
                <w:szCs w:val="24"/>
              </w:rPr>
              <w:t>t</w:t>
            </w:r>
            <w:r w:rsidRPr="006C2D85">
              <w:rPr>
                <w:rFonts w:asciiTheme="minorHAnsi" w:hAnsiTheme="minorHAnsi" w:cs="Calibri"/>
                <w:szCs w:val="24"/>
              </w:rPr>
              <w:t>lig lovproces i Folketinget.</w:t>
            </w:r>
          </w:p>
          <w:p w:rsidR="00C66A7D" w:rsidRDefault="00C66A7D" w:rsidP="005E44B4">
            <w:pPr>
              <w:autoSpaceDE w:val="0"/>
              <w:autoSpaceDN w:val="0"/>
              <w:adjustRightInd w:val="0"/>
              <w:spacing w:after="60"/>
              <w:jc w:val="left"/>
              <w:rPr>
                <w:rFonts w:asciiTheme="minorHAnsi" w:hAnsiTheme="minorHAnsi" w:cs="Calibri"/>
                <w:szCs w:val="24"/>
              </w:rPr>
            </w:pPr>
            <w:r w:rsidRPr="006C2D85">
              <w:rPr>
                <w:rFonts w:asciiTheme="minorHAnsi" w:hAnsiTheme="minorHAnsi" w:cs="Calibri"/>
                <w:szCs w:val="24"/>
              </w:rPr>
              <w:t>På trods af disse krævende vilkår i høringsprocessen har Skattemin</w:t>
            </w:r>
            <w:r w:rsidRPr="006C2D85">
              <w:rPr>
                <w:rFonts w:asciiTheme="minorHAnsi" w:hAnsiTheme="minorHAnsi" w:cs="Calibri"/>
                <w:szCs w:val="24"/>
              </w:rPr>
              <w:t>i</w:t>
            </w:r>
            <w:r w:rsidRPr="006C2D85">
              <w:rPr>
                <w:rFonts w:asciiTheme="minorHAnsi" w:hAnsiTheme="minorHAnsi" w:cs="Calibri"/>
                <w:szCs w:val="24"/>
              </w:rPr>
              <w:t>steriet modtaget kvalificeret input</w:t>
            </w:r>
            <w:r>
              <w:rPr>
                <w:rFonts w:asciiTheme="minorHAnsi" w:hAnsiTheme="minorHAnsi" w:cs="Calibri"/>
                <w:szCs w:val="24"/>
              </w:rPr>
              <w:t xml:space="preserve"> </w:t>
            </w:r>
            <w:r w:rsidRPr="006C2D85">
              <w:rPr>
                <w:rFonts w:asciiTheme="minorHAnsi" w:hAnsiTheme="minorHAnsi" w:cs="Calibri"/>
                <w:szCs w:val="24"/>
              </w:rPr>
              <w:t>fra interesseorganisationer, faglige sammenslutninger og andre. En</w:t>
            </w:r>
            <w:r w:rsidRPr="006C2D85">
              <w:rPr>
                <w:rFonts w:asciiTheme="minorHAnsi" w:hAnsiTheme="minorHAnsi" w:cs="Calibri"/>
                <w:szCs w:val="24"/>
              </w:rPr>
              <w:t>d</w:t>
            </w:r>
            <w:r w:rsidRPr="006C2D85">
              <w:rPr>
                <w:rFonts w:asciiTheme="minorHAnsi" w:hAnsiTheme="minorHAnsi" w:cs="Calibri"/>
                <w:szCs w:val="24"/>
              </w:rPr>
              <w:t>videre har høringsparterne muli</w:t>
            </w:r>
            <w:r w:rsidRPr="006C2D85">
              <w:rPr>
                <w:rFonts w:asciiTheme="minorHAnsi" w:hAnsiTheme="minorHAnsi" w:cs="Calibri"/>
                <w:szCs w:val="24"/>
              </w:rPr>
              <w:t>g</w:t>
            </w:r>
            <w:r w:rsidRPr="006C2D85">
              <w:rPr>
                <w:rFonts w:asciiTheme="minorHAnsi" w:hAnsiTheme="minorHAnsi" w:cs="Calibri"/>
                <w:szCs w:val="24"/>
              </w:rPr>
              <w:t>hed for at komme med bemær</w:t>
            </w:r>
            <w:r w:rsidRPr="006C2D85">
              <w:rPr>
                <w:rFonts w:asciiTheme="minorHAnsi" w:hAnsiTheme="minorHAnsi" w:cs="Calibri"/>
                <w:szCs w:val="24"/>
              </w:rPr>
              <w:t>k</w:t>
            </w:r>
            <w:r w:rsidRPr="006C2D85">
              <w:rPr>
                <w:rFonts w:asciiTheme="minorHAnsi" w:hAnsiTheme="minorHAnsi" w:cs="Calibri"/>
                <w:szCs w:val="24"/>
              </w:rPr>
              <w:t>ninger i forbindelse med folk</w:t>
            </w:r>
            <w:r w:rsidRPr="006C2D85">
              <w:rPr>
                <w:rFonts w:asciiTheme="minorHAnsi" w:hAnsiTheme="minorHAnsi" w:cs="Calibri"/>
                <w:szCs w:val="24"/>
              </w:rPr>
              <w:t>e</w:t>
            </w:r>
            <w:r w:rsidRPr="006C2D85">
              <w:rPr>
                <w:rFonts w:asciiTheme="minorHAnsi" w:hAnsiTheme="minorHAnsi" w:cs="Calibri"/>
                <w:szCs w:val="24"/>
              </w:rPr>
              <w:t>tingsbehandlingen.</w:t>
            </w: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Konkurrence- og Forbr</w:t>
            </w:r>
            <w:r>
              <w:rPr>
                <w:rStyle w:val="Pladsholdertekst"/>
                <w:rFonts w:asciiTheme="minorHAnsi" w:hAnsiTheme="minorHAnsi" w:cs="Calibri"/>
                <w:b/>
                <w:color w:val="auto"/>
                <w:szCs w:val="24"/>
              </w:rPr>
              <w:t>u</w:t>
            </w:r>
            <w:r>
              <w:rPr>
                <w:rStyle w:val="Pladsholdertekst"/>
                <w:rFonts w:asciiTheme="minorHAnsi" w:hAnsiTheme="minorHAnsi" w:cs="Calibri"/>
                <w:b/>
                <w:color w:val="auto"/>
                <w:szCs w:val="24"/>
              </w:rPr>
              <w:t>gerstyrelsen</w:t>
            </w:r>
          </w:p>
        </w:tc>
        <w:tc>
          <w:tcPr>
            <w:tcW w:w="3459" w:type="dxa"/>
          </w:tcPr>
          <w:p w:rsidR="00C66A7D" w:rsidRDefault="00C66A7D" w:rsidP="005E44B4">
            <w:pPr>
              <w:spacing w:after="60"/>
              <w:jc w:val="left"/>
            </w:pPr>
            <w:r>
              <w:t>Ingen bemærkninger.</w:t>
            </w:r>
          </w:p>
        </w:tc>
        <w:tc>
          <w:tcPr>
            <w:tcW w:w="3466" w:type="dxa"/>
          </w:tcPr>
          <w:p w:rsidR="00C66A7D" w:rsidRPr="00C12B12" w:rsidRDefault="00C66A7D" w:rsidP="005E44B4">
            <w:pPr>
              <w:autoSpaceDE w:val="0"/>
              <w:autoSpaceDN w:val="0"/>
              <w:adjustRightInd w:val="0"/>
              <w:spacing w:after="60"/>
              <w:jc w:val="left"/>
              <w:rPr>
                <w:rFonts w:asciiTheme="minorHAnsi" w:hAnsiTheme="minorHAnsi" w:cs="Calibri"/>
                <w:szCs w:val="24"/>
              </w:rPr>
            </w:pP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Landbrug &amp; Fødevarer</w:t>
            </w:r>
          </w:p>
        </w:tc>
        <w:tc>
          <w:tcPr>
            <w:tcW w:w="3459" w:type="dxa"/>
          </w:tcPr>
          <w:p w:rsidR="008F0F45" w:rsidRPr="008568F7" w:rsidRDefault="008F0F45" w:rsidP="008F0F45">
            <w:pPr>
              <w:jc w:val="left"/>
              <w:rPr>
                <w:i/>
              </w:rPr>
            </w:pPr>
            <w:r w:rsidRPr="008568F7">
              <w:rPr>
                <w:i/>
              </w:rPr>
              <w:t>Energiafgifter</w:t>
            </w:r>
          </w:p>
          <w:p w:rsidR="008F0F45" w:rsidRDefault="008F0F45" w:rsidP="008F0F45">
            <w:pPr>
              <w:jc w:val="left"/>
            </w:pPr>
            <w:r>
              <w:t xml:space="preserve">Landbrug &amp; Fødevarer er yderst tilfredse med fremrykningen af lempelsen af afgift på brændsler til procesenergi. </w:t>
            </w:r>
          </w:p>
          <w:p w:rsidR="008F0F45" w:rsidRDefault="008F0F45" w:rsidP="008F0F45">
            <w:pPr>
              <w:jc w:val="left"/>
            </w:pPr>
          </w:p>
          <w:p w:rsidR="008F0F45" w:rsidRPr="00E1790A" w:rsidRDefault="008F0F45" w:rsidP="008F0F45">
            <w:pPr>
              <w:jc w:val="left"/>
              <w:rPr>
                <w:i/>
              </w:rPr>
            </w:pPr>
            <w:r w:rsidRPr="00E1790A">
              <w:rPr>
                <w:i/>
              </w:rPr>
              <w:t xml:space="preserve">Emballageafgift </w:t>
            </w:r>
          </w:p>
          <w:p w:rsidR="008F0F45" w:rsidRDefault="008F0F45" w:rsidP="008F0F45">
            <w:pPr>
              <w:jc w:val="left"/>
              <w:rPr>
                <w:rStyle w:val="Pladsholdertekst"/>
                <w:rFonts w:asciiTheme="minorHAnsi" w:hAnsiTheme="minorHAnsi" w:cs="Calibri"/>
                <w:color w:val="auto"/>
                <w:szCs w:val="24"/>
              </w:rPr>
            </w:pPr>
            <w:r w:rsidRPr="00E1790A">
              <w:rPr>
                <w:rStyle w:val="Pladsholdertekst"/>
                <w:rFonts w:asciiTheme="minorHAnsi" w:hAnsiTheme="minorHAnsi" w:cs="Calibri"/>
                <w:color w:val="auto"/>
                <w:szCs w:val="24"/>
              </w:rPr>
              <w:t>Landbrug &amp; Fødevarer finder, at de</w:t>
            </w:r>
            <w:r>
              <w:rPr>
                <w:rStyle w:val="Pladsholdertekst"/>
                <w:rFonts w:asciiTheme="minorHAnsi" w:hAnsiTheme="minorHAnsi" w:cs="Calibri"/>
                <w:color w:val="auto"/>
                <w:szCs w:val="24"/>
              </w:rPr>
              <w:t>t</w:t>
            </w:r>
            <w:r w:rsidRPr="00E1790A">
              <w:rPr>
                <w:rStyle w:val="Pladsholdertekst"/>
                <w:rFonts w:asciiTheme="minorHAnsi" w:hAnsiTheme="minorHAnsi" w:cs="Calibri"/>
                <w:color w:val="auto"/>
                <w:szCs w:val="24"/>
              </w:rPr>
              <w:t xml:space="preserve"> er usikkert, om der skal o</w:t>
            </w:r>
            <w:r w:rsidRPr="00E1790A">
              <w:rPr>
                <w:rStyle w:val="Pladsholdertekst"/>
                <w:rFonts w:asciiTheme="minorHAnsi" w:hAnsiTheme="minorHAnsi" w:cs="Calibri"/>
                <w:color w:val="auto"/>
                <w:szCs w:val="24"/>
              </w:rPr>
              <w:t>p</w:t>
            </w:r>
            <w:r w:rsidRPr="00E1790A">
              <w:rPr>
                <w:rStyle w:val="Pladsholdertekst"/>
                <w:rFonts w:asciiTheme="minorHAnsi" w:hAnsiTheme="minorHAnsi" w:cs="Calibri"/>
                <w:color w:val="auto"/>
                <w:szCs w:val="24"/>
              </w:rPr>
              <w:t xml:space="preserve">kræves emballageafgift af varer i januar måned 2014, indtil loven vedtages. </w:t>
            </w:r>
          </w:p>
          <w:p w:rsidR="00A92320" w:rsidRPr="00E1790A" w:rsidRDefault="00A92320" w:rsidP="008F0F45">
            <w:pPr>
              <w:jc w:val="left"/>
              <w:rPr>
                <w:rStyle w:val="Pladsholdertekst"/>
                <w:rFonts w:asciiTheme="minorHAnsi" w:hAnsiTheme="minorHAnsi" w:cs="Calibri"/>
                <w:color w:val="auto"/>
                <w:szCs w:val="24"/>
              </w:rPr>
            </w:pPr>
          </w:p>
          <w:p w:rsidR="008F0F45" w:rsidRPr="00E1790A" w:rsidRDefault="008F0F45" w:rsidP="008F0F45">
            <w:pPr>
              <w:jc w:val="left"/>
              <w:rPr>
                <w:rStyle w:val="Pladsholdertekst"/>
                <w:rFonts w:asciiTheme="minorHAnsi" w:hAnsiTheme="minorHAnsi" w:cs="Calibri"/>
                <w:color w:val="auto"/>
                <w:szCs w:val="24"/>
              </w:rPr>
            </w:pPr>
            <w:r w:rsidRPr="00DE05F0">
              <w:rPr>
                <w:rStyle w:val="Pladsholdertekst"/>
                <w:rFonts w:asciiTheme="minorHAnsi" w:hAnsiTheme="minorHAnsi" w:cs="Calibri"/>
                <w:color w:val="auto"/>
                <w:szCs w:val="24"/>
              </w:rPr>
              <w:t xml:space="preserve">Landbrug &amp; Fødevarer opfordrer </w:t>
            </w:r>
            <w:r>
              <w:rPr>
                <w:rStyle w:val="Pladsholdertekst"/>
                <w:rFonts w:asciiTheme="minorHAnsi" w:hAnsiTheme="minorHAnsi" w:cs="Calibri"/>
                <w:color w:val="auto"/>
                <w:szCs w:val="24"/>
              </w:rPr>
              <w:t xml:space="preserve">derfor </w:t>
            </w:r>
            <w:r w:rsidRPr="00DE05F0">
              <w:rPr>
                <w:rStyle w:val="Pladsholdertekst"/>
                <w:rFonts w:asciiTheme="minorHAnsi" w:hAnsiTheme="minorHAnsi" w:cs="Calibri"/>
                <w:color w:val="auto"/>
                <w:szCs w:val="24"/>
              </w:rPr>
              <w:t>til, at Skatteministeriet sk</w:t>
            </w:r>
            <w:r w:rsidRPr="00DE05F0">
              <w:rPr>
                <w:rStyle w:val="Pladsholdertekst"/>
                <w:rFonts w:asciiTheme="minorHAnsi" w:hAnsiTheme="minorHAnsi" w:cs="Calibri"/>
                <w:color w:val="auto"/>
                <w:szCs w:val="24"/>
              </w:rPr>
              <w:t>a</w:t>
            </w:r>
            <w:r w:rsidRPr="00DE05F0">
              <w:rPr>
                <w:rStyle w:val="Pladsholdertekst"/>
                <w:rFonts w:asciiTheme="minorHAnsi" w:hAnsiTheme="minorHAnsi" w:cs="Calibri"/>
                <w:color w:val="auto"/>
                <w:szCs w:val="24"/>
              </w:rPr>
              <w:t>ber klarhed på dette område, idet det vil</w:t>
            </w:r>
            <w:r>
              <w:rPr>
                <w:rStyle w:val="Pladsholdertekst"/>
                <w:rFonts w:asciiTheme="minorHAnsi" w:hAnsiTheme="minorHAnsi" w:cs="Calibri"/>
                <w:color w:val="auto"/>
                <w:szCs w:val="24"/>
              </w:rPr>
              <w:t xml:space="preserve"> </w:t>
            </w:r>
            <w:r w:rsidRPr="00DE05F0">
              <w:rPr>
                <w:rStyle w:val="Pladsholdertekst"/>
                <w:rFonts w:asciiTheme="minorHAnsi" w:hAnsiTheme="minorHAnsi" w:cs="Calibri"/>
                <w:color w:val="auto"/>
                <w:szCs w:val="24"/>
              </w:rPr>
              <w:t>være uholdbart for rigtig mange virksomheder, at man sål</w:t>
            </w:r>
            <w:r w:rsidRPr="00DE05F0">
              <w:rPr>
                <w:rStyle w:val="Pladsholdertekst"/>
                <w:rFonts w:asciiTheme="minorHAnsi" w:hAnsiTheme="minorHAnsi" w:cs="Calibri"/>
                <w:color w:val="auto"/>
                <w:szCs w:val="24"/>
              </w:rPr>
              <w:t>e</w:t>
            </w:r>
            <w:r w:rsidRPr="00DE05F0">
              <w:rPr>
                <w:rStyle w:val="Pladsholdertekst"/>
                <w:rFonts w:asciiTheme="minorHAnsi" w:hAnsiTheme="minorHAnsi" w:cs="Calibri"/>
                <w:color w:val="auto"/>
                <w:szCs w:val="24"/>
              </w:rPr>
              <w:t>de</w:t>
            </w:r>
            <w:r>
              <w:rPr>
                <w:rStyle w:val="Pladsholdertekst"/>
                <w:rFonts w:asciiTheme="minorHAnsi" w:hAnsiTheme="minorHAnsi" w:cs="Calibri"/>
                <w:color w:val="auto"/>
                <w:szCs w:val="24"/>
              </w:rPr>
              <w:t xml:space="preserve">s via et lovforslag pålægges at </w:t>
            </w:r>
            <w:r w:rsidRPr="00DE05F0">
              <w:rPr>
                <w:rStyle w:val="Pladsholdertekst"/>
                <w:rFonts w:asciiTheme="minorHAnsi" w:hAnsiTheme="minorHAnsi" w:cs="Calibri"/>
                <w:color w:val="auto"/>
                <w:szCs w:val="24"/>
              </w:rPr>
              <w:t>indrette sig efter foreslåede regler, der endnu ikke er gældende lov i Danmark.</w:t>
            </w:r>
            <w:r>
              <w:rPr>
                <w:rStyle w:val="Pladsholdertekst"/>
                <w:rFonts w:asciiTheme="minorHAnsi" w:hAnsiTheme="minorHAnsi" w:cs="Calibri"/>
                <w:color w:val="auto"/>
                <w:szCs w:val="24"/>
              </w:rPr>
              <w:t xml:space="preserve"> </w:t>
            </w:r>
            <w:r w:rsidRPr="00DE05F0">
              <w:rPr>
                <w:rStyle w:val="Pladsholdertekst"/>
                <w:rFonts w:asciiTheme="minorHAnsi" w:hAnsiTheme="minorHAnsi" w:cs="Calibri"/>
                <w:color w:val="auto"/>
                <w:szCs w:val="24"/>
              </w:rPr>
              <w:t>Måtte loven af uforu</w:t>
            </w:r>
            <w:r w:rsidRPr="00DE05F0">
              <w:rPr>
                <w:rStyle w:val="Pladsholdertekst"/>
                <w:rFonts w:asciiTheme="minorHAnsi" w:hAnsiTheme="minorHAnsi" w:cs="Calibri"/>
                <w:color w:val="auto"/>
                <w:szCs w:val="24"/>
              </w:rPr>
              <w:t>d</w:t>
            </w:r>
            <w:r w:rsidRPr="00DE05F0">
              <w:rPr>
                <w:rStyle w:val="Pladsholdertekst"/>
                <w:rFonts w:asciiTheme="minorHAnsi" w:hAnsiTheme="minorHAnsi" w:cs="Calibri"/>
                <w:color w:val="auto"/>
                <w:szCs w:val="24"/>
              </w:rPr>
              <w:t>sigelige årsager ikke blive vedtaget, er det virksomhederne</w:t>
            </w:r>
            <w:r>
              <w:rPr>
                <w:rStyle w:val="Pladsholdertekst"/>
                <w:rFonts w:asciiTheme="minorHAnsi" w:hAnsiTheme="minorHAnsi" w:cs="Calibri"/>
                <w:color w:val="auto"/>
                <w:szCs w:val="24"/>
              </w:rPr>
              <w:t>,</w:t>
            </w:r>
            <w:r w:rsidRPr="00DE05F0">
              <w:rPr>
                <w:rStyle w:val="Pladsholdertekst"/>
                <w:rFonts w:asciiTheme="minorHAnsi" w:hAnsiTheme="minorHAnsi" w:cs="Calibri"/>
                <w:color w:val="auto"/>
                <w:szCs w:val="24"/>
              </w:rPr>
              <w:t xml:space="preserve"> der står tilbage</w:t>
            </w:r>
            <w:r>
              <w:rPr>
                <w:rStyle w:val="Pladsholdertekst"/>
                <w:rFonts w:asciiTheme="minorHAnsi" w:hAnsiTheme="minorHAnsi" w:cs="Calibri"/>
                <w:color w:val="auto"/>
                <w:szCs w:val="24"/>
              </w:rPr>
              <w:t xml:space="preserve"> </w:t>
            </w:r>
            <w:r w:rsidRPr="00DE05F0">
              <w:rPr>
                <w:rStyle w:val="Pladsholdertekst"/>
                <w:rFonts w:asciiTheme="minorHAnsi" w:hAnsiTheme="minorHAnsi" w:cs="Calibri"/>
                <w:color w:val="auto"/>
                <w:szCs w:val="24"/>
              </w:rPr>
              <w:t>med en ikke-opkrævet a</w:t>
            </w:r>
            <w:r w:rsidRPr="00DE05F0">
              <w:rPr>
                <w:rStyle w:val="Pladsholdertekst"/>
                <w:rFonts w:asciiTheme="minorHAnsi" w:hAnsiTheme="minorHAnsi" w:cs="Calibri"/>
                <w:color w:val="auto"/>
                <w:szCs w:val="24"/>
              </w:rPr>
              <w:t>f</w:t>
            </w:r>
            <w:r w:rsidRPr="00DE05F0">
              <w:rPr>
                <w:rStyle w:val="Pladsholdertekst"/>
                <w:rFonts w:asciiTheme="minorHAnsi" w:hAnsiTheme="minorHAnsi" w:cs="Calibri"/>
                <w:color w:val="auto"/>
                <w:szCs w:val="24"/>
              </w:rPr>
              <w:t>gift</w:t>
            </w:r>
            <w:r w:rsidRPr="00E1790A">
              <w:rPr>
                <w:rStyle w:val="Pladsholdertekst"/>
                <w:rFonts w:asciiTheme="minorHAnsi" w:hAnsiTheme="minorHAnsi" w:cs="Calibri"/>
                <w:color w:val="auto"/>
                <w:szCs w:val="24"/>
              </w:rPr>
              <w:t xml:space="preserve">. </w:t>
            </w:r>
          </w:p>
          <w:p w:rsidR="008F0F45" w:rsidRDefault="008F0F45" w:rsidP="008F0F45">
            <w:pPr>
              <w:jc w:val="left"/>
              <w:rPr>
                <w:rStyle w:val="Pladsholdertekst"/>
                <w:rFonts w:asciiTheme="minorHAnsi" w:hAnsiTheme="minorHAnsi" w:cs="Calibri"/>
                <w:color w:val="auto"/>
                <w:szCs w:val="24"/>
                <w:highlight w:val="yellow"/>
              </w:rPr>
            </w:pPr>
          </w:p>
          <w:p w:rsidR="008F0F45" w:rsidRDefault="008F0F45" w:rsidP="008F0F45">
            <w:pPr>
              <w:jc w:val="left"/>
              <w:rPr>
                <w:rStyle w:val="Pladsholdertekst"/>
                <w:rFonts w:asciiTheme="minorHAnsi" w:hAnsiTheme="minorHAnsi" w:cs="Calibri"/>
                <w:color w:val="auto"/>
                <w:szCs w:val="24"/>
              </w:rPr>
            </w:pPr>
            <w:r w:rsidRPr="00E1790A">
              <w:rPr>
                <w:rStyle w:val="Pladsholdertekst"/>
                <w:rFonts w:asciiTheme="minorHAnsi" w:hAnsiTheme="minorHAnsi" w:cs="Calibri"/>
                <w:color w:val="auto"/>
                <w:szCs w:val="24"/>
              </w:rPr>
              <w:t>Landbrug og Fødevarer anfører endvidere, at i det omfang man fra politisk side ønsker, at virksomh</w:t>
            </w:r>
            <w:r w:rsidRPr="00E1790A">
              <w:rPr>
                <w:rStyle w:val="Pladsholdertekst"/>
                <w:rFonts w:asciiTheme="minorHAnsi" w:hAnsiTheme="minorHAnsi" w:cs="Calibri"/>
                <w:color w:val="auto"/>
                <w:szCs w:val="24"/>
              </w:rPr>
              <w:t>e</w:t>
            </w:r>
            <w:r w:rsidRPr="00E1790A">
              <w:rPr>
                <w:rStyle w:val="Pladsholdertekst"/>
                <w:rFonts w:asciiTheme="minorHAnsi" w:hAnsiTheme="minorHAnsi" w:cs="Calibri"/>
                <w:color w:val="auto"/>
                <w:szCs w:val="24"/>
              </w:rPr>
              <w:t>derne ikke skal overholde gælde</w:t>
            </w:r>
            <w:r w:rsidRPr="00E1790A">
              <w:rPr>
                <w:rStyle w:val="Pladsholdertekst"/>
                <w:rFonts w:asciiTheme="minorHAnsi" w:hAnsiTheme="minorHAnsi" w:cs="Calibri"/>
                <w:color w:val="auto"/>
                <w:szCs w:val="24"/>
              </w:rPr>
              <w:t>n</w:t>
            </w:r>
            <w:r w:rsidRPr="00E1790A">
              <w:rPr>
                <w:rStyle w:val="Pladsholdertekst"/>
                <w:rFonts w:asciiTheme="minorHAnsi" w:hAnsiTheme="minorHAnsi" w:cs="Calibri"/>
                <w:color w:val="auto"/>
                <w:szCs w:val="24"/>
              </w:rPr>
              <w:t>de lovgivning og afstå fra at o</w:t>
            </w:r>
            <w:r w:rsidRPr="00E1790A">
              <w:rPr>
                <w:rStyle w:val="Pladsholdertekst"/>
                <w:rFonts w:asciiTheme="minorHAnsi" w:hAnsiTheme="minorHAnsi" w:cs="Calibri"/>
                <w:color w:val="auto"/>
                <w:szCs w:val="24"/>
              </w:rPr>
              <w:t>p</w:t>
            </w:r>
            <w:r w:rsidRPr="00E1790A">
              <w:rPr>
                <w:rStyle w:val="Pladsholdertekst"/>
                <w:rFonts w:asciiTheme="minorHAnsi" w:hAnsiTheme="minorHAnsi" w:cs="Calibri"/>
                <w:color w:val="auto"/>
                <w:szCs w:val="24"/>
              </w:rPr>
              <w:t>kræve emballageafgiften i januar, inden loven er</w:t>
            </w:r>
            <w:r w:rsidR="00D57715">
              <w:rPr>
                <w:rStyle w:val="Pladsholdertekst"/>
                <w:rFonts w:asciiTheme="minorHAnsi" w:hAnsiTheme="minorHAnsi" w:cs="Calibri"/>
                <w:color w:val="auto"/>
                <w:szCs w:val="24"/>
              </w:rPr>
              <w:t xml:space="preserve"> </w:t>
            </w:r>
            <w:r w:rsidRPr="00E1790A">
              <w:rPr>
                <w:rStyle w:val="Pladsholdertekst"/>
                <w:rFonts w:asciiTheme="minorHAnsi" w:hAnsiTheme="minorHAnsi" w:cs="Calibri"/>
                <w:color w:val="auto"/>
                <w:szCs w:val="24"/>
              </w:rPr>
              <w:t>vedtaget, må der gives en politisk garanti for, at virksomheder ikke står tilbage med et sådant tab.</w:t>
            </w:r>
          </w:p>
          <w:p w:rsidR="008F0F45" w:rsidRPr="00DE05F0" w:rsidRDefault="008F0F45" w:rsidP="008F0F45">
            <w:pPr>
              <w:jc w:val="left"/>
              <w:rPr>
                <w:rStyle w:val="Pladsholdertekst"/>
                <w:rFonts w:asciiTheme="minorHAnsi" w:hAnsiTheme="minorHAnsi" w:cs="Calibri"/>
                <w:color w:val="auto"/>
                <w:szCs w:val="24"/>
              </w:rPr>
            </w:pPr>
          </w:p>
          <w:p w:rsidR="008F0F45" w:rsidRPr="00DE05F0" w:rsidRDefault="008F0F45" w:rsidP="008F0F45">
            <w:pPr>
              <w:jc w:val="left"/>
              <w:rPr>
                <w:rStyle w:val="Pladsholdertekst"/>
                <w:rFonts w:asciiTheme="minorHAnsi" w:hAnsiTheme="minorHAnsi" w:cs="Calibri"/>
                <w:color w:val="auto"/>
                <w:szCs w:val="24"/>
              </w:rPr>
            </w:pPr>
            <w:r w:rsidRPr="00DE05F0">
              <w:rPr>
                <w:rStyle w:val="Pladsholdertekst"/>
                <w:rFonts w:asciiTheme="minorHAnsi" w:hAnsiTheme="minorHAnsi" w:cs="Calibri"/>
                <w:color w:val="auto"/>
                <w:szCs w:val="24"/>
              </w:rPr>
              <w:t>Landbrug &amp; Fødevarer ønsker desuden at påpege en række pra</w:t>
            </w:r>
            <w:r w:rsidRPr="00DE05F0">
              <w:rPr>
                <w:rStyle w:val="Pladsholdertekst"/>
                <w:rFonts w:asciiTheme="minorHAnsi" w:hAnsiTheme="minorHAnsi" w:cs="Calibri"/>
                <w:color w:val="auto"/>
                <w:szCs w:val="24"/>
              </w:rPr>
              <w:t>k</w:t>
            </w:r>
            <w:r w:rsidRPr="00DE05F0">
              <w:rPr>
                <w:rStyle w:val="Pladsholdertekst"/>
                <w:rFonts w:asciiTheme="minorHAnsi" w:hAnsiTheme="minorHAnsi" w:cs="Calibri"/>
                <w:color w:val="auto"/>
                <w:szCs w:val="24"/>
              </w:rPr>
              <w:t>tiske pro</w:t>
            </w:r>
            <w:r>
              <w:rPr>
                <w:rStyle w:val="Pladsholdertekst"/>
                <w:rFonts w:asciiTheme="minorHAnsi" w:hAnsiTheme="minorHAnsi" w:cs="Calibri"/>
                <w:color w:val="auto"/>
                <w:szCs w:val="24"/>
              </w:rPr>
              <w:t xml:space="preserve">blemstillinger, som ikke </w:t>
            </w:r>
            <w:r w:rsidRPr="00DE05F0">
              <w:rPr>
                <w:rStyle w:val="Pladsholdertekst"/>
                <w:rFonts w:asciiTheme="minorHAnsi" w:hAnsiTheme="minorHAnsi" w:cs="Calibri"/>
                <w:color w:val="auto"/>
                <w:szCs w:val="24"/>
              </w:rPr>
              <w:t>er adresseret i lovforslaget</w:t>
            </w:r>
            <w:r>
              <w:rPr>
                <w:rStyle w:val="Pladsholdertekst"/>
                <w:rFonts w:asciiTheme="minorHAnsi" w:hAnsiTheme="minorHAnsi" w:cs="Calibri"/>
                <w:color w:val="auto"/>
                <w:szCs w:val="24"/>
              </w:rPr>
              <w:t>, heru</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der:</w:t>
            </w:r>
          </w:p>
          <w:p w:rsidR="008F0F45" w:rsidRDefault="008F0F45" w:rsidP="008F0F45">
            <w:pPr>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 - </w:t>
            </w:r>
            <w:r w:rsidRPr="00261E67">
              <w:rPr>
                <w:rStyle w:val="Pladsholdertekst"/>
                <w:rFonts w:asciiTheme="minorHAnsi" w:hAnsiTheme="minorHAnsi" w:cs="Calibri"/>
                <w:color w:val="auto"/>
                <w:szCs w:val="24"/>
              </w:rPr>
              <w:t>Det er utilfredsstillende, at</w:t>
            </w:r>
            <w:r>
              <w:rPr>
                <w:rStyle w:val="Pladsholdertekst"/>
                <w:rFonts w:asciiTheme="minorHAnsi" w:hAnsiTheme="minorHAnsi" w:cs="Calibri"/>
                <w:color w:val="auto"/>
                <w:szCs w:val="24"/>
              </w:rPr>
              <w:t xml:space="preserve"> der ikke indgår en godtgørelsesor</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ning for ikke-registrerede vir</w:t>
            </w:r>
            <w:r>
              <w:rPr>
                <w:rStyle w:val="Pladsholdertekst"/>
                <w:rFonts w:asciiTheme="minorHAnsi" w:hAnsiTheme="minorHAnsi" w:cs="Calibri"/>
                <w:color w:val="auto"/>
                <w:szCs w:val="24"/>
              </w:rPr>
              <w:t>k</w:t>
            </w:r>
            <w:r>
              <w:rPr>
                <w:rStyle w:val="Pladsholdertekst"/>
                <w:rFonts w:asciiTheme="minorHAnsi" w:hAnsiTheme="minorHAnsi" w:cs="Calibri"/>
                <w:color w:val="auto"/>
                <w:szCs w:val="24"/>
              </w:rPr>
              <w:t xml:space="preserve">somheder. </w:t>
            </w:r>
          </w:p>
          <w:p w:rsidR="008F0F45" w:rsidRDefault="008F0F45" w:rsidP="008F0F45">
            <w:pPr>
              <w:jc w:val="left"/>
              <w:rPr>
                <w:rFonts w:asciiTheme="minorHAnsi" w:hAnsiTheme="minorHAnsi" w:cs="Calibri"/>
                <w:szCs w:val="24"/>
              </w:rPr>
            </w:pPr>
            <w:r>
              <w:rPr>
                <w:rStyle w:val="Pladsholdertekst"/>
                <w:rFonts w:asciiTheme="minorHAnsi" w:hAnsiTheme="minorHAnsi" w:cs="Calibri"/>
                <w:color w:val="auto"/>
                <w:szCs w:val="24"/>
              </w:rPr>
              <w:t xml:space="preserve"> - Der mangler stillingtagen til, hvordan </w:t>
            </w:r>
            <w:r w:rsidRPr="00DE05F0">
              <w:rPr>
                <w:rStyle w:val="Pladsholdertekst"/>
                <w:rFonts w:asciiTheme="minorHAnsi" w:hAnsiTheme="minorHAnsi" w:cs="Calibri"/>
                <w:color w:val="auto"/>
                <w:szCs w:val="24"/>
              </w:rPr>
              <w:t>eksporterede</w:t>
            </w:r>
            <w:r>
              <w:rPr>
                <w:rStyle w:val="Pladsholdertekst"/>
                <w:rFonts w:asciiTheme="minorHAnsi" w:hAnsiTheme="minorHAnsi" w:cs="Calibri"/>
                <w:color w:val="auto"/>
                <w:szCs w:val="24"/>
              </w:rPr>
              <w:t xml:space="preserve"> </w:t>
            </w:r>
            <w:r w:rsidRPr="00DE05F0">
              <w:rPr>
                <w:rStyle w:val="Pladsholdertekst"/>
                <w:rFonts w:asciiTheme="minorHAnsi" w:hAnsiTheme="minorHAnsi" w:cs="Calibri"/>
                <w:color w:val="auto"/>
                <w:szCs w:val="24"/>
              </w:rPr>
              <w:t>varer hån</w:t>
            </w:r>
            <w:r w:rsidRPr="00DE05F0">
              <w:rPr>
                <w:rStyle w:val="Pladsholdertekst"/>
                <w:rFonts w:asciiTheme="minorHAnsi" w:hAnsiTheme="minorHAnsi" w:cs="Calibri"/>
                <w:color w:val="auto"/>
                <w:szCs w:val="24"/>
              </w:rPr>
              <w:t>d</w:t>
            </w:r>
            <w:r w:rsidRPr="00DE05F0">
              <w:rPr>
                <w:rStyle w:val="Pladsholdertekst"/>
                <w:rFonts w:asciiTheme="minorHAnsi" w:hAnsiTheme="minorHAnsi" w:cs="Calibri"/>
                <w:color w:val="auto"/>
                <w:szCs w:val="24"/>
              </w:rPr>
              <w:t>teres.</w:t>
            </w:r>
            <w:r>
              <w:rPr>
                <w:rStyle w:val="Pladsholdertekst"/>
                <w:rFonts w:asciiTheme="minorHAnsi" w:hAnsiTheme="minorHAnsi" w:cs="Calibri"/>
                <w:color w:val="auto"/>
                <w:szCs w:val="24"/>
              </w:rPr>
              <w:t xml:space="preserve"> </w:t>
            </w:r>
            <w:r w:rsidRPr="00DE05F0">
              <w:rPr>
                <w:rStyle w:val="Pladsholdertekst"/>
                <w:rFonts w:asciiTheme="minorHAnsi" w:hAnsiTheme="minorHAnsi" w:cs="Calibri"/>
                <w:color w:val="auto"/>
                <w:szCs w:val="24"/>
              </w:rPr>
              <w:t>Eksporterede produkter er i dag fritaget for embal</w:t>
            </w:r>
            <w:r>
              <w:rPr>
                <w:rStyle w:val="Pladsholdertekst"/>
                <w:rFonts w:asciiTheme="minorHAnsi" w:hAnsiTheme="minorHAnsi" w:cs="Calibri"/>
                <w:color w:val="auto"/>
                <w:szCs w:val="24"/>
              </w:rPr>
              <w:t xml:space="preserve">lageafgift, og betalt afgift på </w:t>
            </w:r>
            <w:r w:rsidRPr="00DE05F0">
              <w:rPr>
                <w:rStyle w:val="Pladsholdertekst"/>
                <w:rFonts w:asciiTheme="minorHAnsi" w:hAnsiTheme="minorHAnsi" w:cs="Calibri"/>
                <w:color w:val="auto"/>
                <w:szCs w:val="24"/>
              </w:rPr>
              <w:t>sådanne produkter bliver derfor godtgjort via bevi</w:t>
            </w:r>
            <w:r w:rsidRPr="00DE05F0">
              <w:rPr>
                <w:rStyle w:val="Pladsholdertekst"/>
                <w:rFonts w:asciiTheme="minorHAnsi" w:hAnsiTheme="minorHAnsi" w:cs="Calibri"/>
                <w:color w:val="auto"/>
                <w:szCs w:val="24"/>
              </w:rPr>
              <w:t>l</w:t>
            </w:r>
            <w:r w:rsidRPr="00DE05F0">
              <w:rPr>
                <w:rStyle w:val="Pladsholdertekst"/>
                <w:rFonts w:asciiTheme="minorHAnsi" w:hAnsiTheme="minorHAnsi" w:cs="Calibri"/>
                <w:color w:val="auto"/>
                <w:szCs w:val="24"/>
              </w:rPr>
              <w:t>ling.</w:t>
            </w:r>
          </w:p>
          <w:p w:rsidR="0094698B" w:rsidRDefault="0094698B" w:rsidP="00942C67">
            <w:pPr>
              <w:jc w:val="left"/>
              <w:rPr>
                <w:rFonts w:asciiTheme="minorHAnsi" w:hAnsiTheme="minorHAnsi" w:cs="Calibri"/>
                <w:szCs w:val="24"/>
              </w:rPr>
            </w:pPr>
          </w:p>
          <w:p w:rsidR="00F06843" w:rsidRPr="00F06843" w:rsidRDefault="00F06843" w:rsidP="00942C67">
            <w:pPr>
              <w:jc w:val="left"/>
              <w:rPr>
                <w:rFonts w:asciiTheme="minorHAnsi" w:hAnsiTheme="minorHAnsi" w:cs="Calibri"/>
                <w:i/>
                <w:szCs w:val="24"/>
              </w:rPr>
            </w:pPr>
            <w:r w:rsidRPr="00F06843">
              <w:rPr>
                <w:rFonts w:asciiTheme="minorHAnsi" w:hAnsiTheme="minorHAnsi" w:cs="Calibri"/>
                <w:i/>
                <w:szCs w:val="24"/>
              </w:rPr>
              <w:t>Beskæftigelsesfradrag</w:t>
            </w:r>
          </w:p>
          <w:p w:rsidR="00C66A7D" w:rsidRDefault="00C66A7D" w:rsidP="008A079C">
            <w:pPr>
              <w:jc w:val="left"/>
              <w:rPr>
                <w:rFonts w:asciiTheme="minorHAnsi" w:hAnsiTheme="minorHAnsi" w:cs="Calibri"/>
                <w:szCs w:val="24"/>
              </w:rPr>
            </w:pPr>
            <w:r>
              <w:rPr>
                <w:rFonts w:asciiTheme="minorHAnsi" w:hAnsiTheme="minorHAnsi" w:cs="Calibri"/>
                <w:szCs w:val="24"/>
              </w:rPr>
              <w:t>Finder det ikke tilfredsstillende, at ændringerne vedrørende forhøjet beskæftigelsesfradrag specielt for enlige forsørgere ikke automatisk kommer de berørte persongrupper til gode, idet der ikke sker autom</w:t>
            </w:r>
            <w:r>
              <w:rPr>
                <w:rFonts w:asciiTheme="minorHAnsi" w:hAnsiTheme="minorHAnsi" w:cs="Calibri"/>
                <w:szCs w:val="24"/>
              </w:rPr>
              <w:t>a</w:t>
            </w:r>
            <w:r>
              <w:rPr>
                <w:rFonts w:asciiTheme="minorHAnsi" w:hAnsiTheme="minorHAnsi" w:cs="Calibri"/>
                <w:szCs w:val="24"/>
              </w:rPr>
              <w:t>tisk ændring af forskudsregistr</w:t>
            </w:r>
            <w:r>
              <w:rPr>
                <w:rFonts w:asciiTheme="minorHAnsi" w:hAnsiTheme="minorHAnsi" w:cs="Calibri"/>
                <w:szCs w:val="24"/>
              </w:rPr>
              <w:t>e</w:t>
            </w:r>
            <w:r>
              <w:rPr>
                <w:rFonts w:asciiTheme="minorHAnsi" w:hAnsiTheme="minorHAnsi" w:cs="Calibri"/>
                <w:szCs w:val="24"/>
              </w:rPr>
              <w:t>ringen som følge af lovændringe</w:t>
            </w:r>
            <w:r>
              <w:rPr>
                <w:rFonts w:asciiTheme="minorHAnsi" w:hAnsiTheme="minorHAnsi" w:cs="Calibri"/>
                <w:szCs w:val="24"/>
              </w:rPr>
              <w:t>r</w:t>
            </w:r>
            <w:r>
              <w:rPr>
                <w:rFonts w:asciiTheme="minorHAnsi" w:hAnsiTheme="minorHAnsi" w:cs="Calibri"/>
                <w:szCs w:val="24"/>
              </w:rPr>
              <w:t>ne.</w:t>
            </w:r>
          </w:p>
        </w:tc>
        <w:tc>
          <w:tcPr>
            <w:tcW w:w="3466" w:type="dxa"/>
          </w:tcPr>
          <w:p w:rsidR="00F06843" w:rsidRDefault="00F06843" w:rsidP="00942C67">
            <w:pPr>
              <w:jc w:val="left"/>
              <w:rPr>
                <w:rFonts w:asciiTheme="minorHAnsi" w:hAnsiTheme="minorHAnsi" w:cs="Calibri"/>
                <w:szCs w:val="24"/>
              </w:rPr>
            </w:pPr>
          </w:p>
          <w:p w:rsidR="00F06843" w:rsidRDefault="00F06843" w:rsidP="00942C67">
            <w:pPr>
              <w:jc w:val="left"/>
              <w:rPr>
                <w:rFonts w:asciiTheme="minorHAnsi" w:hAnsiTheme="minorHAnsi" w:cs="Calibri"/>
                <w:szCs w:val="24"/>
              </w:rPr>
            </w:pPr>
          </w:p>
          <w:p w:rsidR="0094698B" w:rsidRDefault="0094698B" w:rsidP="00942C67">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287325" w:rsidRDefault="00287325" w:rsidP="00287325">
            <w:pPr>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Det følger af grundlovens § 22, at </w:t>
            </w:r>
            <w:r w:rsidRPr="004E4C49">
              <w:rPr>
                <w:rStyle w:val="Pladsholdertekst"/>
                <w:rFonts w:asciiTheme="minorHAnsi" w:hAnsiTheme="minorHAnsi" w:cs="Calibri"/>
                <w:color w:val="auto"/>
                <w:szCs w:val="24"/>
              </w:rPr>
              <w:t>en lov først kan håndhæves, når den er vedtaget, stadfæstet og kundgjort.</w:t>
            </w:r>
          </w:p>
          <w:p w:rsidR="00287325" w:rsidRDefault="00287325" w:rsidP="00287325">
            <w:pPr>
              <w:jc w:val="left"/>
              <w:rPr>
                <w:rStyle w:val="Pladsholdertekst"/>
                <w:rFonts w:asciiTheme="minorHAnsi" w:hAnsiTheme="minorHAnsi" w:cs="Calibri"/>
                <w:color w:val="auto"/>
                <w:szCs w:val="24"/>
              </w:rPr>
            </w:pPr>
          </w:p>
          <w:p w:rsidR="00A92320" w:rsidRDefault="00A92320" w:rsidP="00287325">
            <w:pPr>
              <w:jc w:val="left"/>
              <w:rPr>
                <w:rStyle w:val="Pladsholdertekst"/>
                <w:rFonts w:asciiTheme="minorHAnsi" w:hAnsiTheme="minorHAnsi" w:cs="Calibri"/>
                <w:color w:val="auto"/>
                <w:szCs w:val="24"/>
              </w:rPr>
            </w:pPr>
          </w:p>
          <w:p w:rsidR="00287325" w:rsidRDefault="00287325" w:rsidP="00287325">
            <w:pPr>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Som det fremgår af lovforslaget samt af lovens bemærkninger, vil ændringerne vedrørende afskaffe</w:t>
            </w:r>
            <w:r>
              <w:rPr>
                <w:rStyle w:val="Pladsholdertekst"/>
                <w:rFonts w:asciiTheme="minorHAnsi" w:hAnsiTheme="minorHAnsi" w:cs="Calibri"/>
                <w:color w:val="auto"/>
                <w:szCs w:val="24"/>
              </w:rPr>
              <w:t>l</w:t>
            </w:r>
            <w:r>
              <w:rPr>
                <w:rStyle w:val="Pladsholdertekst"/>
                <w:rFonts w:asciiTheme="minorHAnsi" w:hAnsiTheme="minorHAnsi" w:cs="Calibri"/>
                <w:color w:val="auto"/>
                <w:szCs w:val="24"/>
              </w:rPr>
              <w:t>sen af den vægtbaserede emball</w:t>
            </w:r>
            <w:r>
              <w:rPr>
                <w:rStyle w:val="Pladsholdertekst"/>
                <w:rFonts w:asciiTheme="minorHAnsi" w:hAnsiTheme="minorHAnsi" w:cs="Calibri"/>
                <w:color w:val="auto"/>
                <w:szCs w:val="24"/>
              </w:rPr>
              <w:t>a</w:t>
            </w:r>
            <w:r>
              <w:rPr>
                <w:rStyle w:val="Pladsholdertekst"/>
                <w:rFonts w:asciiTheme="minorHAnsi" w:hAnsiTheme="minorHAnsi" w:cs="Calibri"/>
                <w:color w:val="auto"/>
                <w:szCs w:val="24"/>
              </w:rPr>
              <w:t>geafgift efter lovens vedtagelse i Folketinget træde i kraft den 31. januar 2014 og få virkning fra 1. januar 2014. Ændringerne får sål</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 xml:space="preserve">des tilbagevirkende kraft. </w:t>
            </w:r>
          </w:p>
          <w:p w:rsidR="00287325" w:rsidRDefault="00287325" w:rsidP="00287325">
            <w:pPr>
              <w:jc w:val="left"/>
              <w:rPr>
                <w:rStyle w:val="Pladsholdertekst"/>
                <w:rFonts w:asciiTheme="minorHAnsi" w:hAnsiTheme="minorHAnsi" w:cs="Calibri"/>
                <w:color w:val="auto"/>
                <w:szCs w:val="24"/>
              </w:rPr>
            </w:pPr>
          </w:p>
          <w:p w:rsidR="00287325" w:rsidRDefault="00287325" w:rsidP="00287325">
            <w:pPr>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Indtil loven er vedtaget, stadfæstet og kundgjort, vil virksomhederne skulle agere i forhold til de gæ</w:t>
            </w:r>
            <w:r>
              <w:rPr>
                <w:rStyle w:val="Pladsholdertekst"/>
                <w:rFonts w:asciiTheme="minorHAnsi" w:hAnsiTheme="minorHAnsi" w:cs="Calibri"/>
                <w:color w:val="auto"/>
                <w:szCs w:val="24"/>
              </w:rPr>
              <w:t>l</w:t>
            </w:r>
            <w:r>
              <w:rPr>
                <w:rStyle w:val="Pladsholdertekst"/>
                <w:rFonts w:asciiTheme="minorHAnsi" w:hAnsiTheme="minorHAnsi" w:cs="Calibri"/>
                <w:color w:val="auto"/>
                <w:szCs w:val="24"/>
              </w:rPr>
              <w:t xml:space="preserve">dende regler. </w:t>
            </w:r>
          </w:p>
          <w:p w:rsidR="00287325" w:rsidRDefault="00287325" w:rsidP="00287325">
            <w:pPr>
              <w:jc w:val="left"/>
              <w:rPr>
                <w:rStyle w:val="Pladsholdertekst"/>
                <w:rFonts w:asciiTheme="minorHAnsi" w:hAnsiTheme="minorHAnsi" w:cs="Calibri"/>
                <w:color w:val="auto"/>
                <w:szCs w:val="24"/>
              </w:rPr>
            </w:pPr>
          </w:p>
          <w:p w:rsidR="00287325" w:rsidRPr="004E4C49" w:rsidRDefault="00287325" w:rsidP="00287325">
            <w:pPr>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Det er kun muligt at undgå peri</w:t>
            </w:r>
            <w:r>
              <w:rPr>
                <w:rStyle w:val="Pladsholdertekst"/>
                <w:rFonts w:asciiTheme="minorHAnsi" w:hAnsiTheme="minorHAnsi" w:cs="Calibri"/>
                <w:color w:val="auto"/>
                <w:szCs w:val="24"/>
              </w:rPr>
              <w:t>o</w:t>
            </w:r>
            <w:r>
              <w:rPr>
                <w:rStyle w:val="Pladsholdertekst"/>
                <w:rFonts w:asciiTheme="minorHAnsi" w:hAnsiTheme="minorHAnsi" w:cs="Calibri"/>
                <w:color w:val="auto"/>
                <w:szCs w:val="24"/>
              </w:rPr>
              <w:t>den med den tilbagevirkende kraft, såfremt virkningstidspunktet fly</w:t>
            </w:r>
            <w:r>
              <w:rPr>
                <w:rStyle w:val="Pladsholdertekst"/>
                <w:rFonts w:asciiTheme="minorHAnsi" w:hAnsiTheme="minorHAnsi" w:cs="Calibri"/>
                <w:color w:val="auto"/>
                <w:szCs w:val="24"/>
              </w:rPr>
              <w:t>t</w:t>
            </w:r>
            <w:r>
              <w:rPr>
                <w:rStyle w:val="Pladsholdertekst"/>
                <w:rFonts w:asciiTheme="minorHAnsi" w:hAnsiTheme="minorHAnsi" w:cs="Calibri"/>
                <w:color w:val="auto"/>
                <w:szCs w:val="24"/>
              </w:rPr>
              <w:t>tes fra den 1. januar 2014 til den 1. februar 2014, dvs. efter lovens ikrafttræden.</w:t>
            </w:r>
          </w:p>
          <w:p w:rsidR="00287325" w:rsidRDefault="00287325" w:rsidP="00287325">
            <w:pPr>
              <w:jc w:val="left"/>
              <w:rPr>
                <w:rStyle w:val="Pladsholdertekst"/>
                <w:rFonts w:asciiTheme="minorHAnsi" w:hAnsiTheme="minorHAnsi" w:cs="Calibri"/>
                <w:color w:val="auto"/>
                <w:szCs w:val="24"/>
              </w:rPr>
            </w:pPr>
          </w:p>
          <w:p w:rsidR="00287325" w:rsidRDefault="00287325" w:rsidP="00287325">
            <w:pPr>
              <w:jc w:val="left"/>
              <w:rPr>
                <w:rStyle w:val="Pladsholdertekst"/>
                <w:rFonts w:asciiTheme="minorHAnsi" w:hAnsiTheme="minorHAnsi" w:cs="Calibri"/>
                <w:color w:val="auto"/>
                <w:szCs w:val="24"/>
              </w:rPr>
            </w:pPr>
          </w:p>
          <w:p w:rsidR="00287325" w:rsidRDefault="00287325" w:rsidP="00287325">
            <w:pPr>
              <w:jc w:val="left"/>
              <w:rPr>
                <w:rStyle w:val="Pladsholdertekst"/>
                <w:rFonts w:asciiTheme="minorHAnsi" w:hAnsiTheme="minorHAnsi" w:cs="Calibri"/>
                <w:color w:val="auto"/>
                <w:szCs w:val="24"/>
              </w:rPr>
            </w:pPr>
          </w:p>
          <w:p w:rsidR="00287325" w:rsidRDefault="00287325" w:rsidP="00287325">
            <w:pPr>
              <w:jc w:val="left"/>
              <w:rPr>
                <w:rStyle w:val="Pladsholdertekst"/>
                <w:rFonts w:asciiTheme="minorHAnsi" w:hAnsiTheme="minorHAnsi" w:cs="Calibri"/>
                <w:color w:val="auto"/>
                <w:szCs w:val="24"/>
              </w:rPr>
            </w:pPr>
          </w:p>
          <w:p w:rsidR="00287325" w:rsidRDefault="00287325" w:rsidP="00287325">
            <w:pPr>
              <w:jc w:val="left"/>
              <w:rPr>
                <w:rFonts w:asciiTheme="minorHAnsi" w:hAnsiTheme="minorHAnsi" w:cs="Calibri"/>
                <w:szCs w:val="24"/>
              </w:rPr>
            </w:pPr>
          </w:p>
          <w:p w:rsidR="00287325" w:rsidRDefault="00287325" w:rsidP="00287325">
            <w:pPr>
              <w:jc w:val="left"/>
              <w:rPr>
                <w:rFonts w:asciiTheme="minorHAnsi" w:hAnsiTheme="minorHAnsi" w:cs="Calibri"/>
                <w:szCs w:val="24"/>
              </w:rPr>
            </w:pPr>
          </w:p>
          <w:p w:rsidR="00287325" w:rsidRDefault="00287325" w:rsidP="00287325">
            <w:pPr>
              <w:jc w:val="left"/>
              <w:rPr>
                <w:rFonts w:asciiTheme="minorHAnsi" w:hAnsiTheme="minorHAnsi" w:cs="Calibri"/>
                <w:szCs w:val="24"/>
              </w:rPr>
            </w:pPr>
          </w:p>
          <w:p w:rsidR="00287325" w:rsidRDefault="00287325" w:rsidP="00287325">
            <w:pPr>
              <w:jc w:val="left"/>
              <w:rPr>
                <w:rFonts w:asciiTheme="minorHAnsi" w:hAnsiTheme="minorHAnsi" w:cs="Calibri"/>
                <w:szCs w:val="24"/>
              </w:rPr>
            </w:pPr>
          </w:p>
          <w:p w:rsidR="00287325" w:rsidRDefault="00287325" w:rsidP="00287325">
            <w:pPr>
              <w:jc w:val="left"/>
              <w:rPr>
                <w:rFonts w:asciiTheme="minorHAnsi" w:hAnsiTheme="minorHAnsi" w:cs="Calibri"/>
                <w:szCs w:val="24"/>
              </w:rPr>
            </w:pPr>
          </w:p>
          <w:p w:rsidR="00287325" w:rsidRDefault="00287325" w:rsidP="00287325">
            <w:pPr>
              <w:jc w:val="left"/>
              <w:rPr>
                <w:rFonts w:asciiTheme="minorHAnsi" w:hAnsiTheme="minorHAnsi" w:cs="Calibri"/>
                <w:szCs w:val="24"/>
              </w:rPr>
            </w:pPr>
            <w:r>
              <w:rPr>
                <w:rFonts w:asciiTheme="minorHAnsi" w:hAnsiTheme="minorHAnsi" w:cs="Calibri"/>
                <w:szCs w:val="24"/>
              </w:rPr>
              <w:t>Se kommentaren til Bryggerifo</w:t>
            </w:r>
            <w:r>
              <w:rPr>
                <w:rFonts w:asciiTheme="minorHAnsi" w:hAnsiTheme="minorHAnsi" w:cs="Calibri"/>
                <w:szCs w:val="24"/>
              </w:rPr>
              <w:t>r</w:t>
            </w:r>
            <w:r>
              <w:rPr>
                <w:rFonts w:asciiTheme="minorHAnsi" w:hAnsiTheme="minorHAnsi" w:cs="Calibri"/>
                <w:szCs w:val="24"/>
              </w:rPr>
              <w:t>eningen vedr. en godtgørelsesor</w:t>
            </w:r>
            <w:r>
              <w:rPr>
                <w:rFonts w:asciiTheme="minorHAnsi" w:hAnsiTheme="minorHAnsi" w:cs="Calibri"/>
                <w:szCs w:val="24"/>
              </w:rPr>
              <w:t>d</w:t>
            </w:r>
            <w:r>
              <w:rPr>
                <w:rFonts w:asciiTheme="minorHAnsi" w:hAnsiTheme="minorHAnsi" w:cs="Calibri"/>
                <w:szCs w:val="24"/>
              </w:rPr>
              <w:t>ning.</w:t>
            </w:r>
          </w:p>
          <w:p w:rsidR="00287325" w:rsidRDefault="00287325" w:rsidP="00287325">
            <w:pPr>
              <w:jc w:val="left"/>
              <w:rPr>
                <w:rStyle w:val="Pladsholdertekst"/>
                <w:rFonts w:asciiTheme="minorHAnsi" w:hAnsiTheme="minorHAnsi" w:cs="Calibri"/>
                <w:color w:val="auto"/>
                <w:szCs w:val="24"/>
              </w:rPr>
            </w:pPr>
          </w:p>
          <w:p w:rsidR="00DC7CBA" w:rsidRDefault="00A92320" w:rsidP="00287325">
            <w:pPr>
              <w:jc w:val="left"/>
              <w:rPr>
                <w:rFonts w:asciiTheme="minorHAnsi" w:hAnsiTheme="minorHAnsi" w:cs="Calibri"/>
                <w:szCs w:val="24"/>
              </w:rPr>
            </w:pPr>
            <w:r>
              <w:rPr>
                <w:rStyle w:val="Pladsholdertekst"/>
                <w:rFonts w:asciiTheme="minorHAnsi" w:hAnsiTheme="minorHAnsi" w:cs="Calibri"/>
                <w:color w:val="auto"/>
                <w:szCs w:val="24"/>
              </w:rPr>
              <w:t>Når afgiften ophæves, skal der ikke længere godtgøres afgift af varer, der eksporteres. Hvordan man i praksis skal forholde sig, vil blive meldt ud af SKAT.</w:t>
            </w:r>
          </w:p>
          <w:p w:rsidR="00DC7CBA" w:rsidRDefault="00DC7CBA" w:rsidP="0094698B">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DC7CBA" w:rsidRDefault="00DC7CBA" w:rsidP="0094698B">
            <w:pPr>
              <w:jc w:val="left"/>
              <w:rPr>
                <w:rFonts w:asciiTheme="minorHAnsi" w:hAnsiTheme="minorHAnsi" w:cs="Calibri"/>
                <w:szCs w:val="24"/>
              </w:rPr>
            </w:pPr>
          </w:p>
          <w:p w:rsidR="00C66A7D" w:rsidRDefault="0094698B" w:rsidP="0094698B">
            <w:pPr>
              <w:jc w:val="left"/>
              <w:rPr>
                <w:rFonts w:asciiTheme="minorHAnsi" w:hAnsiTheme="minorHAnsi" w:cs="Calibri"/>
                <w:szCs w:val="24"/>
              </w:rPr>
            </w:pPr>
            <w:r>
              <w:rPr>
                <w:rFonts w:asciiTheme="minorHAnsi" w:hAnsiTheme="minorHAnsi" w:cs="Calibri"/>
                <w:szCs w:val="24"/>
              </w:rPr>
              <w:t>Der</w:t>
            </w:r>
            <w:r w:rsidR="00C66A7D">
              <w:rPr>
                <w:rFonts w:asciiTheme="minorHAnsi" w:hAnsiTheme="minorHAnsi" w:cs="Calibri"/>
                <w:szCs w:val="24"/>
              </w:rPr>
              <w:t xml:space="preserve"> henvises til kommentaren til høringssvaret fra FTF.</w:t>
            </w:r>
          </w:p>
        </w:tc>
      </w:tr>
      <w:tr w:rsidR="00C66A7D" w:rsidRPr="0051644C" w:rsidTr="003F5DD2">
        <w:trPr>
          <w:trHeight w:val="343"/>
        </w:trPr>
        <w:tc>
          <w:tcPr>
            <w:tcW w:w="2836" w:type="dxa"/>
          </w:tcPr>
          <w:p w:rsidR="00C66A7D" w:rsidRDefault="00C66A7D" w:rsidP="005E44B4">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SRF Skattefaglig Fo</w:t>
            </w:r>
            <w:r>
              <w:rPr>
                <w:rStyle w:val="Pladsholdertekst"/>
                <w:rFonts w:asciiTheme="minorHAnsi" w:hAnsiTheme="minorHAnsi" w:cs="Calibri"/>
                <w:b/>
                <w:color w:val="auto"/>
                <w:szCs w:val="24"/>
              </w:rPr>
              <w:t>r</w:t>
            </w:r>
            <w:r>
              <w:rPr>
                <w:rStyle w:val="Pladsholdertekst"/>
                <w:rFonts w:asciiTheme="minorHAnsi" w:hAnsiTheme="minorHAnsi" w:cs="Calibri"/>
                <w:b/>
                <w:color w:val="auto"/>
                <w:szCs w:val="24"/>
              </w:rPr>
              <w:t>ening</w:t>
            </w:r>
          </w:p>
        </w:tc>
        <w:tc>
          <w:tcPr>
            <w:tcW w:w="3459" w:type="dxa"/>
          </w:tcPr>
          <w:p w:rsidR="00C66A7D" w:rsidRDefault="00C66A7D" w:rsidP="005E44B4">
            <w:pPr>
              <w:spacing w:after="60"/>
              <w:jc w:val="left"/>
              <w:rPr>
                <w:rFonts w:asciiTheme="minorHAnsi" w:hAnsiTheme="minorHAnsi" w:cs="Calibri"/>
                <w:szCs w:val="24"/>
              </w:rPr>
            </w:pPr>
            <w:r>
              <w:rPr>
                <w:rFonts w:asciiTheme="minorHAnsi" w:hAnsiTheme="minorHAnsi" w:cs="Calibri"/>
                <w:szCs w:val="24"/>
              </w:rPr>
              <w:t>Ingen bemærkninger.</w:t>
            </w:r>
          </w:p>
        </w:tc>
        <w:tc>
          <w:tcPr>
            <w:tcW w:w="3466" w:type="dxa"/>
          </w:tcPr>
          <w:p w:rsidR="00C66A7D" w:rsidRDefault="00C66A7D" w:rsidP="005E44B4">
            <w:pPr>
              <w:spacing w:after="60"/>
              <w:jc w:val="left"/>
              <w:rPr>
                <w:rFonts w:asciiTheme="minorHAnsi" w:hAnsiTheme="minorHAnsi" w:cs="Calibri"/>
                <w:szCs w:val="24"/>
              </w:rPr>
            </w:pPr>
          </w:p>
        </w:tc>
      </w:tr>
    </w:tbl>
    <w:p w:rsidR="008620B1" w:rsidRPr="00D97706" w:rsidRDefault="008620B1" w:rsidP="006E1C89">
      <w:pPr>
        <w:rPr>
          <w:rFonts w:ascii="Calibri" w:hAnsi="Calibri" w:cs="Calibri"/>
          <w:sz w:val="18"/>
          <w:szCs w:val="18"/>
          <w:lang w:eastAsia="da-DK"/>
        </w:rPr>
      </w:pPr>
    </w:p>
    <w:sectPr w:rsidR="008620B1" w:rsidRPr="00D97706" w:rsidSect="00E23A98">
      <w:footerReference w:type="default" r:id="rId8"/>
      <w:headerReference w:type="first" r:id="rId9"/>
      <w:footerReference w:type="first" r:id="rId10"/>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5E9" w:rsidRDefault="00C265E9" w:rsidP="00431D4B">
      <w:r>
        <w:separator/>
      </w:r>
    </w:p>
  </w:endnote>
  <w:endnote w:type="continuationSeparator" w:id="0">
    <w:p w:rsidR="00C265E9" w:rsidRDefault="00C265E9"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8D" w:rsidRPr="00295C4C" w:rsidRDefault="000A268D">
    <w:pPr>
      <w:pStyle w:val="Sidefod"/>
      <w:rPr>
        <w:rFonts w:ascii="Calibri" w:hAnsi="Calibri" w:cs="Calibri"/>
        <w:sz w:val="20"/>
        <w:szCs w:val="20"/>
      </w:rPr>
    </w:pPr>
    <w:r w:rsidRPr="00295C4C">
      <w:rPr>
        <w:rFonts w:ascii="Calibri" w:hAnsi="Calibri" w:cs="Calibri"/>
        <w:sz w:val="20"/>
        <w:szCs w:val="20"/>
      </w:rPr>
      <w:fldChar w:fldCharType="begin"/>
    </w:r>
    <w:r w:rsidRPr="00295C4C">
      <w:rPr>
        <w:rFonts w:ascii="Calibri" w:hAnsi="Calibri" w:cs="Calibri"/>
        <w:sz w:val="20"/>
        <w:szCs w:val="20"/>
      </w:rPr>
      <w:instrText>PAGE   \* MERGEFORMAT</w:instrText>
    </w:r>
    <w:r w:rsidRPr="00295C4C">
      <w:rPr>
        <w:rFonts w:ascii="Calibri" w:hAnsi="Calibri" w:cs="Calibri"/>
        <w:sz w:val="20"/>
        <w:szCs w:val="20"/>
      </w:rPr>
      <w:fldChar w:fldCharType="separate"/>
    </w:r>
    <w:r w:rsidR="00696E15">
      <w:rPr>
        <w:rFonts w:ascii="Calibri" w:hAnsi="Calibri" w:cs="Calibri"/>
        <w:noProof/>
        <w:sz w:val="20"/>
        <w:szCs w:val="20"/>
      </w:rPr>
      <w:t>8</w:t>
    </w:r>
    <w:r w:rsidRPr="00295C4C">
      <w:rPr>
        <w:rFonts w:ascii="Calibri" w:hAnsi="Calibri" w:cs="Calibri"/>
        <w:sz w:val="20"/>
        <w:szCs w:val="20"/>
      </w:rPr>
      <w:fldChar w:fldCharType="end"/>
    </w:r>
    <w:r w:rsidRPr="00295C4C">
      <w:rPr>
        <w:rFonts w:ascii="Calibri" w:hAnsi="Calibri" w:cs="Calibri"/>
        <w:sz w:val="20"/>
        <w:szCs w:val="20"/>
      </w:rPr>
      <w:t xml:space="preserve"> / </w:t>
    </w:r>
    <w:r w:rsidRPr="00295C4C">
      <w:rPr>
        <w:rFonts w:ascii="Calibri" w:hAnsi="Calibri" w:cs="Calibri"/>
        <w:sz w:val="20"/>
        <w:szCs w:val="20"/>
      </w:rPr>
      <w:fldChar w:fldCharType="begin"/>
    </w:r>
    <w:r w:rsidRPr="00295C4C">
      <w:rPr>
        <w:rFonts w:ascii="Calibri" w:hAnsi="Calibri" w:cs="Calibri"/>
        <w:sz w:val="20"/>
        <w:szCs w:val="20"/>
      </w:rPr>
      <w:instrText xml:space="preserve"> NUMPAGES  \# "0" \* Arabic  \* MERGEFORMAT </w:instrText>
    </w:r>
    <w:r w:rsidRPr="00295C4C">
      <w:rPr>
        <w:rFonts w:ascii="Calibri" w:hAnsi="Calibri" w:cs="Calibri"/>
        <w:sz w:val="20"/>
        <w:szCs w:val="20"/>
      </w:rPr>
      <w:fldChar w:fldCharType="separate"/>
    </w:r>
    <w:r w:rsidR="00696E15">
      <w:rPr>
        <w:rFonts w:ascii="Calibri" w:hAnsi="Calibri" w:cs="Calibri"/>
        <w:noProof/>
        <w:sz w:val="20"/>
        <w:szCs w:val="20"/>
      </w:rPr>
      <w:t>8</w:t>
    </w:r>
    <w:r w:rsidRPr="00295C4C">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8D" w:rsidRPr="00AD7E07" w:rsidRDefault="000A268D">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696E15">
      <w:rPr>
        <w:rFonts w:ascii="Calibri" w:hAnsi="Calibri" w:cs="Calibri"/>
        <w:noProof/>
        <w:sz w:val="20"/>
        <w:szCs w:val="20"/>
      </w:rPr>
      <w:t>1</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696E15">
      <w:rPr>
        <w:rFonts w:ascii="Calibri" w:hAnsi="Calibri" w:cs="Calibri"/>
        <w:noProof/>
        <w:sz w:val="20"/>
        <w:szCs w:val="20"/>
      </w:rPr>
      <w:t>8</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5E9" w:rsidRDefault="00C265E9" w:rsidP="00431D4B">
      <w:r>
        <w:separator/>
      </w:r>
    </w:p>
  </w:footnote>
  <w:footnote w:type="continuationSeparator" w:id="0">
    <w:p w:rsidR="00C265E9" w:rsidRDefault="00C265E9"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p>
  <w:p w:rsidR="000A268D" w:rsidRDefault="000A268D">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67"/>
    <w:rsid w:val="00001311"/>
    <w:rsid w:val="00012E57"/>
    <w:rsid w:val="00040B5B"/>
    <w:rsid w:val="0004601F"/>
    <w:rsid w:val="00047FE5"/>
    <w:rsid w:val="00053A9B"/>
    <w:rsid w:val="000614B4"/>
    <w:rsid w:val="00066BB4"/>
    <w:rsid w:val="00070439"/>
    <w:rsid w:val="00071369"/>
    <w:rsid w:val="00077668"/>
    <w:rsid w:val="000905B9"/>
    <w:rsid w:val="000A0CEF"/>
    <w:rsid w:val="000A268D"/>
    <w:rsid w:val="000A7537"/>
    <w:rsid w:val="000D0274"/>
    <w:rsid w:val="000D08D5"/>
    <w:rsid w:val="000D6E69"/>
    <w:rsid w:val="000E2C37"/>
    <w:rsid w:val="000E614B"/>
    <w:rsid w:val="000E720A"/>
    <w:rsid w:val="000F7B05"/>
    <w:rsid w:val="00114964"/>
    <w:rsid w:val="00116198"/>
    <w:rsid w:val="00132B98"/>
    <w:rsid w:val="00137FA9"/>
    <w:rsid w:val="001409D4"/>
    <w:rsid w:val="00146239"/>
    <w:rsid w:val="00151AD8"/>
    <w:rsid w:val="00173668"/>
    <w:rsid w:val="001D7FB6"/>
    <w:rsid w:val="001F1906"/>
    <w:rsid w:val="00203EBD"/>
    <w:rsid w:val="00204BD9"/>
    <w:rsid w:val="0020701D"/>
    <w:rsid w:val="00210A2E"/>
    <w:rsid w:val="002164D4"/>
    <w:rsid w:val="00243C09"/>
    <w:rsid w:val="00271300"/>
    <w:rsid w:val="00273DB5"/>
    <w:rsid w:val="00287325"/>
    <w:rsid w:val="00292B73"/>
    <w:rsid w:val="00292D4D"/>
    <w:rsid w:val="00293255"/>
    <w:rsid w:val="00295C4C"/>
    <w:rsid w:val="002A2B99"/>
    <w:rsid w:val="002A4613"/>
    <w:rsid w:val="002B557C"/>
    <w:rsid w:val="002B7D29"/>
    <w:rsid w:val="002D3162"/>
    <w:rsid w:val="0030541F"/>
    <w:rsid w:val="0031525B"/>
    <w:rsid w:val="003171A6"/>
    <w:rsid w:val="003611B1"/>
    <w:rsid w:val="00372AFB"/>
    <w:rsid w:val="003750C6"/>
    <w:rsid w:val="0038054C"/>
    <w:rsid w:val="003869C0"/>
    <w:rsid w:val="00390510"/>
    <w:rsid w:val="003A00AC"/>
    <w:rsid w:val="003B3EC2"/>
    <w:rsid w:val="003C6EA1"/>
    <w:rsid w:val="003D7706"/>
    <w:rsid w:val="003E16FE"/>
    <w:rsid w:val="003F120D"/>
    <w:rsid w:val="003F5DD2"/>
    <w:rsid w:val="0040436F"/>
    <w:rsid w:val="00421F40"/>
    <w:rsid w:val="00431D4B"/>
    <w:rsid w:val="00434584"/>
    <w:rsid w:val="00446447"/>
    <w:rsid w:val="00451855"/>
    <w:rsid w:val="00453EA3"/>
    <w:rsid w:val="00461F2E"/>
    <w:rsid w:val="004705FA"/>
    <w:rsid w:val="004724B8"/>
    <w:rsid w:val="0048126D"/>
    <w:rsid w:val="00481547"/>
    <w:rsid w:val="00485F0D"/>
    <w:rsid w:val="0048702A"/>
    <w:rsid w:val="00490490"/>
    <w:rsid w:val="004A41F8"/>
    <w:rsid w:val="004B2435"/>
    <w:rsid w:val="004B6BDD"/>
    <w:rsid w:val="004D1BC2"/>
    <w:rsid w:val="004D22EA"/>
    <w:rsid w:val="004D4DB3"/>
    <w:rsid w:val="004E74AA"/>
    <w:rsid w:val="004F656D"/>
    <w:rsid w:val="004F6C87"/>
    <w:rsid w:val="004F7D52"/>
    <w:rsid w:val="00507D3B"/>
    <w:rsid w:val="00513DEB"/>
    <w:rsid w:val="0051644C"/>
    <w:rsid w:val="00516D8C"/>
    <w:rsid w:val="0052064B"/>
    <w:rsid w:val="00584E28"/>
    <w:rsid w:val="00596D81"/>
    <w:rsid w:val="005D0D18"/>
    <w:rsid w:val="005D3567"/>
    <w:rsid w:val="005E100E"/>
    <w:rsid w:val="005E44B4"/>
    <w:rsid w:val="005E7232"/>
    <w:rsid w:val="006004D9"/>
    <w:rsid w:val="00606FAA"/>
    <w:rsid w:val="006227B0"/>
    <w:rsid w:val="006333F7"/>
    <w:rsid w:val="00646243"/>
    <w:rsid w:val="00654D28"/>
    <w:rsid w:val="00656487"/>
    <w:rsid w:val="006640A4"/>
    <w:rsid w:val="00675483"/>
    <w:rsid w:val="00683DCB"/>
    <w:rsid w:val="00696E15"/>
    <w:rsid w:val="006B38B0"/>
    <w:rsid w:val="006B61A1"/>
    <w:rsid w:val="006C2D85"/>
    <w:rsid w:val="006E1C89"/>
    <w:rsid w:val="006E78F8"/>
    <w:rsid w:val="007013D8"/>
    <w:rsid w:val="007028CC"/>
    <w:rsid w:val="007064F2"/>
    <w:rsid w:val="00734252"/>
    <w:rsid w:val="00735751"/>
    <w:rsid w:val="00741FA6"/>
    <w:rsid w:val="0079590A"/>
    <w:rsid w:val="007B009C"/>
    <w:rsid w:val="007B3F83"/>
    <w:rsid w:val="007D1FCB"/>
    <w:rsid w:val="007D7D2E"/>
    <w:rsid w:val="007E4F92"/>
    <w:rsid w:val="007F2172"/>
    <w:rsid w:val="0083219F"/>
    <w:rsid w:val="0085598C"/>
    <w:rsid w:val="0085657A"/>
    <w:rsid w:val="0086113F"/>
    <w:rsid w:val="008620B1"/>
    <w:rsid w:val="008631CD"/>
    <w:rsid w:val="008653D5"/>
    <w:rsid w:val="00876F4F"/>
    <w:rsid w:val="00880A59"/>
    <w:rsid w:val="00883B9F"/>
    <w:rsid w:val="008A079C"/>
    <w:rsid w:val="008A23E7"/>
    <w:rsid w:val="008E79BF"/>
    <w:rsid w:val="008F0F45"/>
    <w:rsid w:val="00907893"/>
    <w:rsid w:val="009178B9"/>
    <w:rsid w:val="00934D6E"/>
    <w:rsid w:val="00942B6B"/>
    <w:rsid w:val="00942C67"/>
    <w:rsid w:val="0094698B"/>
    <w:rsid w:val="009734CF"/>
    <w:rsid w:val="00980121"/>
    <w:rsid w:val="009959AA"/>
    <w:rsid w:val="009C0DAB"/>
    <w:rsid w:val="009D00D0"/>
    <w:rsid w:val="009E2788"/>
    <w:rsid w:val="009E56A7"/>
    <w:rsid w:val="00A25227"/>
    <w:rsid w:val="00A30173"/>
    <w:rsid w:val="00A315F2"/>
    <w:rsid w:val="00A32367"/>
    <w:rsid w:val="00A423EE"/>
    <w:rsid w:val="00A5005E"/>
    <w:rsid w:val="00A50F89"/>
    <w:rsid w:val="00A63804"/>
    <w:rsid w:val="00A83ECE"/>
    <w:rsid w:val="00A85CF2"/>
    <w:rsid w:val="00A92320"/>
    <w:rsid w:val="00A9378F"/>
    <w:rsid w:val="00AA0B21"/>
    <w:rsid w:val="00AA7C3B"/>
    <w:rsid w:val="00AB73C8"/>
    <w:rsid w:val="00AC145C"/>
    <w:rsid w:val="00AD7E07"/>
    <w:rsid w:val="00AF7D87"/>
    <w:rsid w:val="00B02AD4"/>
    <w:rsid w:val="00B04B31"/>
    <w:rsid w:val="00B06E10"/>
    <w:rsid w:val="00B129F1"/>
    <w:rsid w:val="00B2692D"/>
    <w:rsid w:val="00B32E57"/>
    <w:rsid w:val="00B545C6"/>
    <w:rsid w:val="00B67215"/>
    <w:rsid w:val="00B76181"/>
    <w:rsid w:val="00B76983"/>
    <w:rsid w:val="00B77A92"/>
    <w:rsid w:val="00B80219"/>
    <w:rsid w:val="00B8431D"/>
    <w:rsid w:val="00BB34F6"/>
    <w:rsid w:val="00BB44BC"/>
    <w:rsid w:val="00BC1769"/>
    <w:rsid w:val="00BC5D4C"/>
    <w:rsid w:val="00BD0A5C"/>
    <w:rsid w:val="00BE0360"/>
    <w:rsid w:val="00BE3D5C"/>
    <w:rsid w:val="00BF67DC"/>
    <w:rsid w:val="00C02547"/>
    <w:rsid w:val="00C12B12"/>
    <w:rsid w:val="00C2555C"/>
    <w:rsid w:val="00C2570F"/>
    <w:rsid w:val="00C265E9"/>
    <w:rsid w:val="00C32CD7"/>
    <w:rsid w:val="00C54B69"/>
    <w:rsid w:val="00C6362E"/>
    <w:rsid w:val="00C66A7D"/>
    <w:rsid w:val="00C942E1"/>
    <w:rsid w:val="00C95F30"/>
    <w:rsid w:val="00C96DFA"/>
    <w:rsid w:val="00CC0582"/>
    <w:rsid w:val="00CE2C69"/>
    <w:rsid w:val="00CE4D01"/>
    <w:rsid w:val="00D306D0"/>
    <w:rsid w:val="00D34632"/>
    <w:rsid w:val="00D45546"/>
    <w:rsid w:val="00D57715"/>
    <w:rsid w:val="00D66306"/>
    <w:rsid w:val="00D97706"/>
    <w:rsid w:val="00DA04B1"/>
    <w:rsid w:val="00DB625E"/>
    <w:rsid w:val="00DC7297"/>
    <w:rsid w:val="00DC7CBA"/>
    <w:rsid w:val="00E2332E"/>
    <w:rsid w:val="00E23A98"/>
    <w:rsid w:val="00E27A40"/>
    <w:rsid w:val="00E30ACC"/>
    <w:rsid w:val="00E62DB5"/>
    <w:rsid w:val="00E702EE"/>
    <w:rsid w:val="00E972F0"/>
    <w:rsid w:val="00EB3F9A"/>
    <w:rsid w:val="00EE63EF"/>
    <w:rsid w:val="00F0126F"/>
    <w:rsid w:val="00F06843"/>
    <w:rsid w:val="00F127C0"/>
    <w:rsid w:val="00F156F3"/>
    <w:rsid w:val="00F15947"/>
    <w:rsid w:val="00F20B70"/>
    <w:rsid w:val="00F333CA"/>
    <w:rsid w:val="00F34C54"/>
    <w:rsid w:val="00F6444A"/>
    <w:rsid w:val="00F720D8"/>
    <w:rsid w:val="00F92576"/>
    <w:rsid w:val="00F971D6"/>
    <w:rsid w:val="00F97875"/>
    <w:rsid w:val="00FA0956"/>
    <w:rsid w:val="00FB59A5"/>
    <w:rsid w:val="00FC1DC0"/>
    <w:rsid w:val="00FC26F8"/>
    <w:rsid w:val="00FC5FA9"/>
    <w:rsid w:val="00FC7C4C"/>
    <w:rsid w:val="00FD4C68"/>
    <w:rsid w:val="00FE12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customStyle="1" w:styleId="Default">
    <w:name w:val="Default"/>
    <w:rsid w:val="00116198"/>
    <w:pPr>
      <w:autoSpaceDE w:val="0"/>
      <w:autoSpaceDN w:val="0"/>
      <w:adjustRightInd w:val="0"/>
      <w:spacing w:line="240" w:lineRule="auto"/>
    </w:pPr>
    <w:rPr>
      <w:rFonts w:ascii="Arial" w:hAnsi="Arial" w:cs="Arial"/>
      <w:color w:val="000000"/>
      <w:sz w:val="24"/>
      <w:szCs w:val="24"/>
    </w:rPr>
  </w:style>
  <w:style w:type="paragraph" w:styleId="Brdtekst">
    <w:name w:val="Body Text"/>
    <w:link w:val="BrdtekstTegn"/>
    <w:semiHidden/>
    <w:unhideWhenUsed/>
    <w:qFormat/>
    <w:rsid w:val="00B77A92"/>
    <w:pPr>
      <w:spacing w:after="240" w:line="360" w:lineRule="auto"/>
    </w:pPr>
    <w:rPr>
      <w:rFonts w:ascii="Tahoma" w:eastAsia="Times New Roman" w:hAnsi="Tahoma" w:cs="Times New Roman"/>
      <w:sz w:val="20"/>
      <w:szCs w:val="20"/>
      <w:lang w:eastAsia="da-DK"/>
    </w:rPr>
  </w:style>
  <w:style w:type="character" w:customStyle="1" w:styleId="BrdtekstTegn">
    <w:name w:val="Brødtekst Tegn"/>
    <w:basedOn w:val="Standardskrifttypeiafsnit"/>
    <w:link w:val="Brdtekst"/>
    <w:semiHidden/>
    <w:rsid w:val="00B77A92"/>
    <w:rPr>
      <w:rFonts w:ascii="Tahoma" w:eastAsia="Times New Roman" w:hAnsi="Tahoma" w:cs="Times New Roman"/>
      <w:sz w:val="20"/>
      <w:szCs w:val="20"/>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customStyle="1" w:styleId="Default">
    <w:name w:val="Default"/>
    <w:rsid w:val="00116198"/>
    <w:pPr>
      <w:autoSpaceDE w:val="0"/>
      <w:autoSpaceDN w:val="0"/>
      <w:adjustRightInd w:val="0"/>
      <w:spacing w:line="240" w:lineRule="auto"/>
    </w:pPr>
    <w:rPr>
      <w:rFonts w:ascii="Arial" w:hAnsi="Arial" w:cs="Arial"/>
      <w:color w:val="000000"/>
      <w:sz w:val="24"/>
      <w:szCs w:val="24"/>
    </w:rPr>
  </w:style>
  <w:style w:type="paragraph" w:styleId="Brdtekst">
    <w:name w:val="Body Text"/>
    <w:link w:val="BrdtekstTegn"/>
    <w:semiHidden/>
    <w:unhideWhenUsed/>
    <w:qFormat/>
    <w:rsid w:val="00B77A92"/>
    <w:pPr>
      <w:spacing w:after="240" w:line="360" w:lineRule="auto"/>
    </w:pPr>
    <w:rPr>
      <w:rFonts w:ascii="Tahoma" w:eastAsia="Times New Roman" w:hAnsi="Tahoma" w:cs="Times New Roman"/>
      <w:sz w:val="20"/>
      <w:szCs w:val="20"/>
      <w:lang w:eastAsia="da-DK"/>
    </w:rPr>
  </w:style>
  <w:style w:type="character" w:customStyle="1" w:styleId="BrdtekstTegn">
    <w:name w:val="Brødtekst Tegn"/>
    <w:basedOn w:val="Standardskrifttypeiafsnit"/>
    <w:link w:val="Brdtekst"/>
    <w:semiHidden/>
    <w:rsid w:val="00B77A92"/>
    <w:rPr>
      <w:rFonts w:ascii="Tahoma" w:eastAsia="Times New Roman" w:hAnsi="Tahoma" w:cs="Times New Roman"/>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16808">
      <w:bodyDiv w:val="1"/>
      <w:marLeft w:val="0"/>
      <w:marRight w:val="0"/>
      <w:marTop w:val="0"/>
      <w:marBottom w:val="0"/>
      <w:divBdr>
        <w:top w:val="none" w:sz="0" w:space="0" w:color="auto"/>
        <w:left w:val="none" w:sz="0" w:space="0" w:color="auto"/>
        <w:bottom w:val="none" w:sz="0" w:space="0" w:color="auto"/>
        <w:right w:val="none" w:sz="0" w:space="0" w:color="auto"/>
      </w:divBdr>
    </w:div>
    <w:div w:id="135879780">
      <w:bodyDiv w:val="1"/>
      <w:marLeft w:val="0"/>
      <w:marRight w:val="0"/>
      <w:marTop w:val="0"/>
      <w:marBottom w:val="0"/>
      <w:divBdr>
        <w:top w:val="none" w:sz="0" w:space="0" w:color="auto"/>
        <w:left w:val="none" w:sz="0" w:space="0" w:color="auto"/>
        <w:bottom w:val="none" w:sz="0" w:space="0" w:color="auto"/>
        <w:right w:val="none" w:sz="0" w:space="0" w:color="auto"/>
      </w:divBdr>
    </w:div>
    <w:div w:id="870068200">
      <w:bodyDiv w:val="1"/>
      <w:marLeft w:val="0"/>
      <w:marRight w:val="0"/>
      <w:marTop w:val="0"/>
      <w:marBottom w:val="0"/>
      <w:divBdr>
        <w:top w:val="none" w:sz="0" w:space="0" w:color="auto"/>
        <w:left w:val="none" w:sz="0" w:space="0" w:color="auto"/>
        <w:bottom w:val="none" w:sz="0" w:space="0" w:color="auto"/>
        <w:right w:val="none" w:sz="0" w:space="0" w:color="auto"/>
      </w:divBdr>
    </w:div>
    <w:div w:id="158029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Desktop\Til%20Captia%202013-07-03\FT%20h&#248;ringsskema.dotx" TargetMode="External"/></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58BFE-BBDA-4530-B40B-36165E12E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FT høringsskema</Template>
  <TotalTime>1</TotalTime>
  <Pages>1</Pages>
  <Words>1899</Words>
  <Characters>11588</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FT høringsskema</vt:lpstr>
    </vt:vector>
  </TitlesOfParts>
  <Company>Skatteministeriet</Company>
  <LinksUpToDate>false</LinksUpToDate>
  <CharactersWithSpaces>13461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 høringsskema</dc:title>
  <dc:creator>Peter Bak</dc:creator>
  <cp:lastModifiedBy>Peter Bak</cp:lastModifiedBy>
  <cp:revision>2</cp:revision>
  <cp:lastPrinted>2013-12-17T14:09:00Z</cp:lastPrinted>
  <dcterms:created xsi:type="dcterms:W3CDTF">2013-12-20T09:30:00Z</dcterms:created>
  <dcterms:modified xsi:type="dcterms:W3CDTF">2013-12-20T09:30:00Z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C:\Users\w18693\AppData\Local\Temp\20\SJ20131217145141847 [DOK30278633].DOCX</vt:lpwstr>
  </property>
  <property fmtid="{D5CDD505-2E9C-101B-9397-08002B2CF9AE}" pid="3" name="title">
    <vt:lpwstr>Høringsskema (DOK30278633)</vt:lpwstr>
  </property>
  <property fmtid="{D5CDD505-2E9C-101B-9397-08002B2CF9AE}" pid="4" name="command">
    <vt:lpwstr>&amp;x_infomerge=1</vt:lpwstr>
  </property>
</Properties>
</file>